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4095" w14:textId="09A7ABDE" w:rsidR="00473DC6" w:rsidRPr="00280A66" w:rsidRDefault="00280A66">
      <w:pPr>
        <w:rPr>
          <w:b/>
          <w:bCs/>
        </w:rPr>
      </w:pPr>
      <w:r w:rsidRPr="00280A66">
        <w:rPr>
          <w:b/>
          <w:bCs/>
        </w:rPr>
        <w:t xml:space="preserve">Annex 1 </w:t>
      </w:r>
    </w:p>
    <w:p w14:paraId="00792284" w14:textId="77777777" w:rsidR="00280A66" w:rsidRDefault="00280A66"/>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7"/>
        <w:gridCol w:w="2144"/>
        <w:gridCol w:w="6179"/>
      </w:tblGrid>
      <w:tr w:rsidR="00703681" w14:paraId="17FB85D7" w14:textId="77777777" w:rsidTr="0030759D">
        <w:tc>
          <w:tcPr>
            <w:tcW w:w="381" w:type="pct"/>
          </w:tcPr>
          <w:p w14:paraId="2B4B83B3" w14:textId="77777777" w:rsidR="00703681" w:rsidRPr="005E194B" w:rsidRDefault="00703681" w:rsidP="00547455">
            <w:pPr>
              <w:spacing w:after="120" w:line="276" w:lineRule="auto"/>
              <w:rPr>
                <w:b/>
                <w:bCs/>
              </w:rPr>
            </w:pPr>
            <w:r w:rsidRPr="005E194B">
              <w:rPr>
                <w:b/>
                <w:bCs/>
              </w:rPr>
              <w:t>#</w:t>
            </w:r>
          </w:p>
        </w:tc>
        <w:tc>
          <w:tcPr>
            <w:tcW w:w="1190" w:type="pct"/>
          </w:tcPr>
          <w:p w14:paraId="0B082F57" w14:textId="5A05D2B3" w:rsidR="00703681" w:rsidRPr="005E194B" w:rsidRDefault="0030759D" w:rsidP="00547455">
            <w:pPr>
              <w:spacing w:after="120" w:line="276" w:lineRule="auto"/>
              <w:rPr>
                <w:b/>
                <w:bCs/>
              </w:rPr>
            </w:pPr>
            <w:r>
              <w:rPr>
                <w:b/>
                <w:bCs/>
              </w:rPr>
              <w:t xml:space="preserve">CEA </w:t>
            </w:r>
            <w:r w:rsidR="00703681" w:rsidRPr="005E194B">
              <w:rPr>
                <w:b/>
                <w:bCs/>
              </w:rPr>
              <w:t>TOOL</w:t>
            </w:r>
          </w:p>
        </w:tc>
        <w:tc>
          <w:tcPr>
            <w:tcW w:w="3429" w:type="pct"/>
          </w:tcPr>
          <w:p w14:paraId="52A82761" w14:textId="173A6024" w:rsidR="00703681" w:rsidRPr="005E194B" w:rsidRDefault="00703681" w:rsidP="00547455">
            <w:pPr>
              <w:spacing w:after="120" w:line="276" w:lineRule="auto"/>
              <w:rPr>
                <w:b/>
                <w:bCs/>
              </w:rPr>
            </w:pPr>
            <w:r w:rsidRPr="005E194B">
              <w:rPr>
                <w:b/>
                <w:bCs/>
              </w:rPr>
              <w:t>PURPOSE</w:t>
            </w:r>
          </w:p>
        </w:tc>
      </w:tr>
      <w:tr w:rsidR="00703681" w14:paraId="1F759172" w14:textId="77777777" w:rsidTr="0030759D">
        <w:tc>
          <w:tcPr>
            <w:tcW w:w="381" w:type="pct"/>
          </w:tcPr>
          <w:p w14:paraId="274A352A" w14:textId="77777777" w:rsidR="00703681" w:rsidRPr="005E194B" w:rsidRDefault="00703681" w:rsidP="00547455">
            <w:pPr>
              <w:spacing w:after="120" w:line="276" w:lineRule="auto"/>
              <w:rPr>
                <w:sz w:val="22"/>
                <w:szCs w:val="22"/>
              </w:rPr>
            </w:pPr>
            <w:r w:rsidRPr="005E194B">
              <w:rPr>
                <w:sz w:val="22"/>
                <w:szCs w:val="22"/>
              </w:rPr>
              <w:t>1</w:t>
            </w:r>
          </w:p>
        </w:tc>
        <w:tc>
          <w:tcPr>
            <w:tcW w:w="1190" w:type="pct"/>
          </w:tcPr>
          <w:p w14:paraId="64E65E9A" w14:textId="77777777" w:rsidR="00703681" w:rsidRPr="005E194B" w:rsidRDefault="00703681" w:rsidP="00547455">
            <w:pPr>
              <w:spacing w:after="120" w:line="276" w:lineRule="auto"/>
              <w:rPr>
                <w:sz w:val="22"/>
                <w:szCs w:val="22"/>
              </w:rPr>
            </w:pPr>
            <w:r w:rsidRPr="005E194B">
              <w:rPr>
                <w:sz w:val="22"/>
                <w:szCs w:val="22"/>
              </w:rPr>
              <w:t>CEA briefing session for senior leadership</w:t>
            </w:r>
          </w:p>
          <w:p w14:paraId="74C82BAF" w14:textId="77777777" w:rsidR="00703681" w:rsidRPr="005E194B" w:rsidRDefault="00703681" w:rsidP="00547455">
            <w:pPr>
              <w:spacing w:after="120" w:line="276" w:lineRule="auto"/>
              <w:rPr>
                <w:sz w:val="22"/>
                <w:szCs w:val="22"/>
              </w:rPr>
            </w:pPr>
          </w:p>
        </w:tc>
        <w:tc>
          <w:tcPr>
            <w:tcW w:w="3429" w:type="pct"/>
          </w:tcPr>
          <w:p w14:paraId="5DF51D65" w14:textId="6B0410E4" w:rsidR="00CE2067" w:rsidRPr="005E194B" w:rsidRDefault="005B50B5" w:rsidP="00547455">
            <w:pPr>
              <w:spacing w:after="120" w:line="276" w:lineRule="auto"/>
              <w:rPr>
                <w:sz w:val="22"/>
                <w:szCs w:val="22"/>
              </w:rPr>
            </w:pPr>
            <w:r w:rsidRPr="005E194B">
              <w:rPr>
                <w:sz w:val="22"/>
                <w:szCs w:val="22"/>
              </w:rPr>
              <w:t xml:space="preserve">A short PPT session for senior leadership to explain what </w:t>
            </w:r>
            <w:r w:rsidR="00CE2067">
              <w:rPr>
                <w:sz w:val="22"/>
                <w:szCs w:val="22"/>
              </w:rPr>
              <w:t>CEA</w:t>
            </w:r>
            <w:r w:rsidRPr="005E194B">
              <w:rPr>
                <w:sz w:val="22"/>
                <w:szCs w:val="22"/>
              </w:rPr>
              <w:t xml:space="preserve"> is, and the benefits </w:t>
            </w:r>
            <w:r w:rsidR="00280A66">
              <w:rPr>
                <w:sz w:val="22"/>
                <w:szCs w:val="22"/>
              </w:rPr>
              <w:t>it</w:t>
            </w:r>
            <w:r w:rsidRPr="005E194B">
              <w:rPr>
                <w:sz w:val="22"/>
                <w:szCs w:val="22"/>
              </w:rPr>
              <w:t xml:space="preserve"> can have for the </w:t>
            </w:r>
            <w:r w:rsidR="005E194B">
              <w:rPr>
                <w:sz w:val="22"/>
                <w:szCs w:val="22"/>
              </w:rPr>
              <w:t>organization’s</w:t>
            </w:r>
            <w:r w:rsidRPr="005E194B">
              <w:rPr>
                <w:sz w:val="22"/>
                <w:szCs w:val="22"/>
              </w:rPr>
              <w:t xml:space="preserve"> reputation, </w:t>
            </w:r>
            <w:r w:rsidR="005E194B">
              <w:rPr>
                <w:sz w:val="22"/>
                <w:szCs w:val="22"/>
              </w:rPr>
              <w:t>funding and partnerships</w:t>
            </w:r>
            <w:r w:rsidRPr="005E194B">
              <w:rPr>
                <w:sz w:val="22"/>
                <w:szCs w:val="22"/>
              </w:rPr>
              <w:t xml:space="preserve">, </w:t>
            </w:r>
            <w:r w:rsidR="00C7608F" w:rsidRPr="005E194B">
              <w:rPr>
                <w:sz w:val="22"/>
                <w:szCs w:val="22"/>
              </w:rPr>
              <w:t>efficiency, quality</w:t>
            </w:r>
            <w:r w:rsidR="005E194B" w:rsidRPr="005E194B">
              <w:rPr>
                <w:sz w:val="22"/>
                <w:szCs w:val="22"/>
              </w:rPr>
              <w:t>,</w:t>
            </w:r>
            <w:r w:rsidR="00C7608F" w:rsidRPr="005E194B">
              <w:rPr>
                <w:sz w:val="22"/>
                <w:szCs w:val="22"/>
              </w:rPr>
              <w:t xml:space="preserve"> and financial sustainability. </w:t>
            </w:r>
          </w:p>
        </w:tc>
      </w:tr>
      <w:tr w:rsidR="00703681" w14:paraId="38B2095D" w14:textId="77777777" w:rsidTr="0030759D">
        <w:tc>
          <w:tcPr>
            <w:tcW w:w="381" w:type="pct"/>
          </w:tcPr>
          <w:p w14:paraId="60676BF6" w14:textId="3305113D" w:rsidR="00703681" w:rsidRPr="005E194B" w:rsidRDefault="00C7608F" w:rsidP="00547455">
            <w:pPr>
              <w:spacing w:after="120" w:line="276" w:lineRule="auto"/>
              <w:rPr>
                <w:sz w:val="22"/>
                <w:szCs w:val="22"/>
              </w:rPr>
            </w:pPr>
            <w:r w:rsidRPr="005E194B">
              <w:rPr>
                <w:sz w:val="22"/>
                <w:szCs w:val="22"/>
              </w:rPr>
              <w:t>2</w:t>
            </w:r>
          </w:p>
        </w:tc>
        <w:tc>
          <w:tcPr>
            <w:tcW w:w="1190" w:type="pct"/>
          </w:tcPr>
          <w:p w14:paraId="7AA5B4B3" w14:textId="77777777" w:rsidR="00703681" w:rsidRPr="005E194B" w:rsidRDefault="00703681" w:rsidP="00547455">
            <w:pPr>
              <w:spacing w:after="120" w:line="276" w:lineRule="auto"/>
              <w:rPr>
                <w:sz w:val="22"/>
                <w:szCs w:val="22"/>
              </w:rPr>
            </w:pPr>
            <w:r w:rsidRPr="005E194B">
              <w:rPr>
                <w:sz w:val="22"/>
                <w:szCs w:val="22"/>
              </w:rPr>
              <w:t>CEA policy template</w:t>
            </w:r>
          </w:p>
        </w:tc>
        <w:tc>
          <w:tcPr>
            <w:tcW w:w="3429" w:type="pct"/>
          </w:tcPr>
          <w:p w14:paraId="2A3119A8" w14:textId="7366BCC1" w:rsidR="005E194B" w:rsidRPr="005E194B" w:rsidRDefault="005E194B" w:rsidP="00547455">
            <w:pPr>
              <w:pBdr>
                <w:top w:val="nil"/>
                <w:left w:val="nil"/>
                <w:bottom w:val="nil"/>
                <w:right w:val="nil"/>
                <w:between w:val="nil"/>
              </w:pBdr>
              <w:spacing w:after="120" w:line="276" w:lineRule="auto"/>
              <w:rPr>
                <w:color w:val="000000"/>
                <w:sz w:val="22"/>
                <w:szCs w:val="22"/>
              </w:rPr>
            </w:pPr>
            <w:r w:rsidRPr="005E194B">
              <w:rPr>
                <w:color w:val="000000"/>
                <w:sz w:val="22"/>
                <w:szCs w:val="22"/>
              </w:rPr>
              <w:t xml:space="preserve">A template to help you develop a </w:t>
            </w:r>
            <w:r w:rsidR="00CE2067">
              <w:rPr>
                <w:color w:val="000000"/>
                <w:sz w:val="22"/>
                <w:szCs w:val="22"/>
              </w:rPr>
              <w:t xml:space="preserve">CEA </w:t>
            </w:r>
            <w:r w:rsidRPr="005E194B">
              <w:rPr>
                <w:color w:val="000000"/>
                <w:sz w:val="22"/>
                <w:szCs w:val="22"/>
              </w:rPr>
              <w:t>Policy, with guidance</w:t>
            </w:r>
            <w:r w:rsidR="00CE2067">
              <w:rPr>
                <w:color w:val="000000"/>
                <w:sz w:val="22"/>
                <w:szCs w:val="22"/>
              </w:rPr>
              <w:t xml:space="preserve"> on </w:t>
            </w:r>
            <w:r w:rsidRPr="005E194B">
              <w:rPr>
                <w:color w:val="000000"/>
                <w:sz w:val="22"/>
                <w:szCs w:val="22"/>
              </w:rPr>
              <w:t xml:space="preserve">what should be included in each section and some content to help you get started. </w:t>
            </w:r>
            <w:r w:rsidR="008E5895">
              <w:rPr>
                <w:color w:val="000000"/>
                <w:sz w:val="22"/>
                <w:szCs w:val="22"/>
              </w:rPr>
              <w:t>A</w:t>
            </w:r>
            <w:r w:rsidR="00CE2067">
              <w:rPr>
                <w:color w:val="000000"/>
                <w:sz w:val="22"/>
                <w:szCs w:val="22"/>
              </w:rPr>
              <w:t xml:space="preserve"> </w:t>
            </w:r>
            <w:r w:rsidR="008E5895">
              <w:rPr>
                <w:color w:val="000000"/>
                <w:sz w:val="22"/>
                <w:szCs w:val="22"/>
              </w:rPr>
              <w:t xml:space="preserve">CEA </w:t>
            </w:r>
            <w:r w:rsidR="00CE2067">
              <w:rPr>
                <w:color w:val="000000"/>
                <w:sz w:val="22"/>
                <w:szCs w:val="22"/>
              </w:rPr>
              <w:t xml:space="preserve">Policy sets out what the organization commits to and the roles and responsibilities of different departments. </w:t>
            </w:r>
          </w:p>
        </w:tc>
      </w:tr>
      <w:tr w:rsidR="00703681" w14:paraId="50BE1878" w14:textId="77777777" w:rsidTr="0030759D">
        <w:trPr>
          <w:trHeight w:val="557"/>
        </w:trPr>
        <w:tc>
          <w:tcPr>
            <w:tcW w:w="381" w:type="pct"/>
          </w:tcPr>
          <w:p w14:paraId="211E0BA1" w14:textId="1F4095F7" w:rsidR="00703681" w:rsidRPr="005E194B" w:rsidRDefault="005E194B" w:rsidP="00547455">
            <w:pPr>
              <w:spacing w:after="120" w:line="276" w:lineRule="auto"/>
              <w:rPr>
                <w:sz w:val="22"/>
                <w:szCs w:val="22"/>
              </w:rPr>
            </w:pPr>
            <w:r w:rsidRPr="005E194B">
              <w:rPr>
                <w:sz w:val="22"/>
                <w:szCs w:val="22"/>
              </w:rPr>
              <w:t>3</w:t>
            </w:r>
          </w:p>
        </w:tc>
        <w:tc>
          <w:tcPr>
            <w:tcW w:w="1190" w:type="pct"/>
          </w:tcPr>
          <w:p w14:paraId="18B0E6F9" w14:textId="77777777" w:rsidR="00703681" w:rsidRPr="005E194B" w:rsidRDefault="00703681" w:rsidP="00547455">
            <w:pPr>
              <w:spacing w:after="120" w:line="276" w:lineRule="auto"/>
              <w:rPr>
                <w:sz w:val="22"/>
                <w:szCs w:val="22"/>
              </w:rPr>
            </w:pPr>
            <w:r w:rsidRPr="005E194B">
              <w:rPr>
                <w:sz w:val="22"/>
                <w:szCs w:val="22"/>
              </w:rPr>
              <w:t>CEA self-assessment and planning workshop</w:t>
            </w:r>
          </w:p>
          <w:p w14:paraId="55999CDF" w14:textId="77777777" w:rsidR="00703681" w:rsidRPr="005E194B" w:rsidRDefault="00703681" w:rsidP="00547455">
            <w:pPr>
              <w:spacing w:after="120" w:line="276" w:lineRule="auto"/>
              <w:rPr>
                <w:sz w:val="22"/>
                <w:szCs w:val="22"/>
              </w:rPr>
            </w:pPr>
          </w:p>
        </w:tc>
        <w:tc>
          <w:tcPr>
            <w:tcW w:w="3429" w:type="pct"/>
          </w:tcPr>
          <w:p w14:paraId="5EF3F9AC" w14:textId="009D1BF0" w:rsidR="00703681" w:rsidRPr="005E194B" w:rsidRDefault="005E194B" w:rsidP="00547455">
            <w:pPr>
              <w:spacing w:after="120" w:line="276" w:lineRule="auto"/>
              <w:jc w:val="both"/>
              <w:rPr>
                <w:sz w:val="22"/>
                <w:szCs w:val="22"/>
              </w:rPr>
            </w:pPr>
            <w:r w:rsidRPr="005E194B">
              <w:rPr>
                <w:sz w:val="22"/>
                <w:szCs w:val="22"/>
              </w:rPr>
              <w:t xml:space="preserve">This tool provides facilitator notes, worksheets, and PowerPoint slides to deliver a one-day </w:t>
            </w:r>
            <w:r w:rsidR="008E5895">
              <w:rPr>
                <w:sz w:val="22"/>
                <w:szCs w:val="22"/>
              </w:rPr>
              <w:t>CEA</w:t>
            </w:r>
            <w:r w:rsidRPr="005E194B">
              <w:rPr>
                <w:sz w:val="22"/>
                <w:szCs w:val="22"/>
              </w:rPr>
              <w:t xml:space="preserve"> self-assessment and planning workshop. This workshop can be added </w:t>
            </w:r>
            <w:r w:rsidR="00280A66">
              <w:rPr>
                <w:sz w:val="22"/>
                <w:szCs w:val="22"/>
              </w:rPr>
              <w:t>to</w:t>
            </w:r>
            <w:r w:rsidRPr="005E194B">
              <w:rPr>
                <w:sz w:val="22"/>
                <w:szCs w:val="22"/>
              </w:rPr>
              <w:t xml:space="preserve"> the three-day CEA training with the aim of </w:t>
            </w:r>
            <w:r w:rsidR="00CE2067">
              <w:rPr>
                <w:sz w:val="22"/>
                <w:szCs w:val="22"/>
              </w:rPr>
              <w:t xml:space="preserve">developing </w:t>
            </w:r>
            <w:r w:rsidRPr="005E194B">
              <w:rPr>
                <w:sz w:val="22"/>
                <w:szCs w:val="22"/>
              </w:rPr>
              <w:t>a clear action plan for how</w:t>
            </w:r>
            <w:r w:rsidR="00CE2067">
              <w:rPr>
                <w:sz w:val="22"/>
                <w:szCs w:val="22"/>
              </w:rPr>
              <w:t xml:space="preserve"> the National Society</w:t>
            </w:r>
            <w:r w:rsidRPr="005E194B">
              <w:rPr>
                <w:sz w:val="22"/>
                <w:szCs w:val="22"/>
              </w:rPr>
              <w:t xml:space="preserve"> can strengthen CEA institutionally and within pr</w:t>
            </w:r>
            <w:r w:rsidR="0030759D">
              <w:rPr>
                <w:sz w:val="22"/>
                <w:szCs w:val="22"/>
              </w:rPr>
              <w:t>o</w:t>
            </w:r>
            <w:r w:rsidRPr="005E194B">
              <w:rPr>
                <w:sz w:val="22"/>
                <w:szCs w:val="22"/>
              </w:rPr>
              <w:t>grammes and operations.</w:t>
            </w:r>
          </w:p>
        </w:tc>
      </w:tr>
      <w:tr w:rsidR="00703681" w14:paraId="10F93957" w14:textId="77777777" w:rsidTr="0030759D">
        <w:tc>
          <w:tcPr>
            <w:tcW w:w="381" w:type="pct"/>
          </w:tcPr>
          <w:p w14:paraId="27BD9D65" w14:textId="61253C99" w:rsidR="00703681" w:rsidRPr="005E194B" w:rsidRDefault="00CE2067" w:rsidP="00547455">
            <w:pPr>
              <w:spacing w:after="120" w:line="276" w:lineRule="auto"/>
              <w:rPr>
                <w:sz w:val="22"/>
                <w:szCs w:val="22"/>
              </w:rPr>
            </w:pPr>
            <w:r>
              <w:rPr>
                <w:sz w:val="22"/>
                <w:szCs w:val="22"/>
              </w:rPr>
              <w:t>4</w:t>
            </w:r>
          </w:p>
        </w:tc>
        <w:tc>
          <w:tcPr>
            <w:tcW w:w="1190" w:type="pct"/>
          </w:tcPr>
          <w:p w14:paraId="304BF173" w14:textId="77777777" w:rsidR="00703681" w:rsidRPr="005E194B" w:rsidRDefault="00703681" w:rsidP="00547455">
            <w:pPr>
              <w:spacing w:after="120" w:line="276" w:lineRule="auto"/>
              <w:rPr>
                <w:sz w:val="22"/>
                <w:szCs w:val="22"/>
              </w:rPr>
            </w:pPr>
            <w:r w:rsidRPr="005E194B">
              <w:rPr>
                <w:sz w:val="22"/>
                <w:szCs w:val="22"/>
              </w:rPr>
              <w:t>Template CEA Strategy</w:t>
            </w:r>
          </w:p>
        </w:tc>
        <w:tc>
          <w:tcPr>
            <w:tcW w:w="3429" w:type="pct"/>
          </w:tcPr>
          <w:p w14:paraId="557552E0" w14:textId="1ADEEE32" w:rsidR="00703681" w:rsidRPr="005E194B" w:rsidRDefault="00CE2067" w:rsidP="00547455">
            <w:pPr>
              <w:pBdr>
                <w:top w:val="nil"/>
                <w:left w:val="nil"/>
                <w:bottom w:val="nil"/>
                <w:right w:val="nil"/>
                <w:between w:val="nil"/>
              </w:pBdr>
              <w:spacing w:after="120" w:line="276" w:lineRule="auto"/>
              <w:rPr>
                <w:color w:val="000000"/>
                <w:sz w:val="22"/>
                <w:szCs w:val="22"/>
              </w:rPr>
            </w:pPr>
            <w:r w:rsidRPr="005E194B">
              <w:rPr>
                <w:color w:val="000000"/>
                <w:sz w:val="22"/>
                <w:szCs w:val="22"/>
              </w:rPr>
              <w:t xml:space="preserve">A template to help you develop a </w:t>
            </w:r>
            <w:r w:rsidR="008E5895">
              <w:rPr>
                <w:color w:val="000000"/>
                <w:sz w:val="22"/>
                <w:szCs w:val="22"/>
              </w:rPr>
              <w:t xml:space="preserve">CEA </w:t>
            </w:r>
            <w:r>
              <w:rPr>
                <w:color w:val="000000"/>
                <w:sz w:val="22"/>
                <w:szCs w:val="22"/>
              </w:rPr>
              <w:t>Strategy</w:t>
            </w:r>
            <w:r w:rsidRPr="005E194B">
              <w:rPr>
                <w:color w:val="000000"/>
                <w:sz w:val="22"/>
                <w:szCs w:val="22"/>
              </w:rPr>
              <w:t xml:space="preserve">, with guidance </w:t>
            </w:r>
            <w:r w:rsidR="008E5895">
              <w:rPr>
                <w:color w:val="000000"/>
                <w:sz w:val="22"/>
                <w:szCs w:val="22"/>
              </w:rPr>
              <w:t>on</w:t>
            </w:r>
            <w:r w:rsidRPr="005E194B">
              <w:rPr>
                <w:color w:val="000000"/>
                <w:sz w:val="22"/>
                <w:szCs w:val="22"/>
              </w:rPr>
              <w:t xml:space="preserve"> what should be included in each section and some content to help you get started. </w:t>
            </w:r>
            <w:r w:rsidR="008E5895">
              <w:rPr>
                <w:color w:val="000000"/>
                <w:sz w:val="22"/>
                <w:szCs w:val="22"/>
              </w:rPr>
              <w:t>A</w:t>
            </w:r>
            <w:r>
              <w:rPr>
                <w:color w:val="000000"/>
                <w:sz w:val="22"/>
                <w:szCs w:val="22"/>
              </w:rPr>
              <w:t xml:space="preserve"> strategy sets out how the organization will strengthen </w:t>
            </w:r>
            <w:r w:rsidR="008E5895">
              <w:rPr>
                <w:color w:val="000000"/>
                <w:sz w:val="22"/>
                <w:szCs w:val="22"/>
              </w:rPr>
              <w:t>CEA</w:t>
            </w:r>
            <w:r>
              <w:rPr>
                <w:color w:val="000000"/>
                <w:sz w:val="22"/>
                <w:szCs w:val="22"/>
              </w:rPr>
              <w:t xml:space="preserve"> over the coming years.</w:t>
            </w:r>
          </w:p>
        </w:tc>
      </w:tr>
      <w:tr w:rsidR="00703681" w14:paraId="09C014EF" w14:textId="77777777" w:rsidTr="0030759D">
        <w:tc>
          <w:tcPr>
            <w:tcW w:w="381" w:type="pct"/>
          </w:tcPr>
          <w:p w14:paraId="4419698A" w14:textId="4E0C172E" w:rsidR="00703681" w:rsidRPr="005E194B" w:rsidRDefault="00CE2067" w:rsidP="00547455">
            <w:pPr>
              <w:spacing w:after="120" w:line="276" w:lineRule="auto"/>
              <w:rPr>
                <w:sz w:val="22"/>
                <w:szCs w:val="22"/>
              </w:rPr>
            </w:pPr>
            <w:r>
              <w:rPr>
                <w:sz w:val="22"/>
                <w:szCs w:val="22"/>
              </w:rPr>
              <w:t>5</w:t>
            </w:r>
          </w:p>
        </w:tc>
        <w:tc>
          <w:tcPr>
            <w:tcW w:w="1190" w:type="pct"/>
          </w:tcPr>
          <w:p w14:paraId="1DF2B00C" w14:textId="77777777" w:rsidR="00703681" w:rsidRPr="005E194B" w:rsidRDefault="00703681" w:rsidP="00547455">
            <w:pPr>
              <w:spacing w:after="120" w:line="276" w:lineRule="auto"/>
              <w:rPr>
                <w:sz w:val="22"/>
                <w:szCs w:val="22"/>
              </w:rPr>
            </w:pPr>
            <w:r w:rsidRPr="005E194B">
              <w:rPr>
                <w:sz w:val="22"/>
                <w:szCs w:val="22"/>
              </w:rPr>
              <w:t>Template CEA work plan</w:t>
            </w:r>
          </w:p>
        </w:tc>
        <w:tc>
          <w:tcPr>
            <w:tcW w:w="3429" w:type="pct"/>
          </w:tcPr>
          <w:p w14:paraId="0330FF55" w14:textId="7564C323" w:rsidR="00CE2067" w:rsidRPr="005E194B" w:rsidRDefault="00CE2067" w:rsidP="00547455">
            <w:pPr>
              <w:pBdr>
                <w:top w:val="nil"/>
                <w:left w:val="nil"/>
                <w:bottom w:val="nil"/>
                <w:right w:val="nil"/>
                <w:between w:val="nil"/>
              </w:pBdr>
              <w:spacing w:after="120" w:line="276" w:lineRule="auto"/>
              <w:rPr>
                <w:color w:val="000000"/>
                <w:sz w:val="22"/>
                <w:szCs w:val="22"/>
              </w:rPr>
            </w:pPr>
            <w:r w:rsidRPr="005E194B">
              <w:rPr>
                <w:color w:val="000000"/>
                <w:sz w:val="22"/>
                <w:szCs w:val="22"/>
              </w:rPr>
              <w:t xml:space="preserve">A template to help you develop a </w:t>
            </w:r>
            <w:r w:rsidR="008E5895">
              <w:rPr>
                <w:color w:val="000000"/>
                <w:sz w:val="22"/>
                <w:szCs w:val="22"/>
              </w:rPr>
              <w:t xml:space="preserve">CEA </w:t>
            </w:r>
            <w:r>
              <w:rPr>
                <w:color w:val="000000"/>
                <w:sz w:val="22"/>
                <w:szCs w:val="22"/>
              </w:rPr>
              <w:t>annual workplan</w:t>
            </w:r>
            <w:r w:rsidRPr="005E194B">
              <w:rPr>
                <w:color w:val="000000"/>
                <w:sz w:val="22"/>
                <w:szCs w:val="22"/>
              </w:rPr>
              <w:t xml:space="preserve">, </w:t>
            </w:r>
            <w:r>
              <w:rPr>
                <w:color w:val="000000"/>
                <w:sz w:val="22"/>
                <w:szCs w:val="22"/>
              </w:rPr>
              <w:t xml:space="preserve">including log frame and activity plan, with example outcomes, outputs, activities, indicators, and timelines. </w:t>
            </w:r>
          </w:p>
        </w:tc>
      </w:tr>
      <w:tr w:rsidR="00CE2067" w14:paraId="6DF93F5E" w14:textId="77777777" w:rsidTr="0030759D">
        <w:tc>
          <w:tcPr>
            <w:tcW w:w="381" w:type="pct"/>
          </w:tcPr>
          <w:p w14:paraId="20FEE252" w14:textId="1D46B9D5" w:rsidR="00CE2067" w:rsidRDefault="008E5895" w:rsidP="00547455">
            <w:pPr>
              <w:spacing w:after="120" w:line="276" w:lineRule="auto"/>
              <w:rPr>
                <w:sz w:val="22"/>
                <w:szCs w:val="22"/>
              </w:rPr>
            </w:pPr>
            <w:r>
              <w:rPr>
                <w:sz w:val="22"/>
                <w:szCs w:val="22"/>
              </w:rPr>
              <w:t>6</w:t>
            </w:r>
          </w:p>
        </w:tc>
        <w:tc>
          <w:tcPr>
            <w:tcW w:w="1190" w:type="pct"/>
          </w:tcPr>
          <w:p w14:paraId="6D3D2E7D" w14:textId="6934D00E" w:rsidR="00CE2067" w:rsidRPr="005E194B" w:rsidRDefault="00CE2067" w:rsidP="00547455">
            <w:pPr>
              <w:spacing w:after="120" w:line="276" w:lineRule="auto"/>
              <w:rPr>
                <w:sz w:val="22"/>
                <w:szCs w:val="22"/>
              </w:rPr>
            </w:pPr>
            <w:r w:rsidRPr="005E194B">
              <w:rPr>
                <w:sz w:val="22"/>
                <w:szCs w:val="22"/>
              </w:rPr>
              <w:t xml:space="preserve">CEA budgeting tool </w:t>
            </w:r>
          </w:p>
        </w:tc>
        <w:tc>
          <w:tcPr>
            <w:tcW w:w="3429" w:type="pct"/>
          </w:tcPr>
          <w:p w14:paraId="5F2D7548" w14:textId="359F00CA" w:rsidR="00CE2067" w:rsidRPr="005E194B" w:rsidRDefault="00CE2067" w:rsidP="00547455">
            <w:pPr>
              <w:pBdr>
                <w:top w:val="nil"/>
                <w:left w:val="nil"/>
                <w:bottom w:val="nil"/>
                <w:right w:val="nil"/>
                <w:between w:val="nil"/>
              </w:pBdr>
              <w:spacing w:after="120" w:line="276" w:lineRule="auto"/>
              <w:rPr>
                <w:color w:val="000000"/>
                <w:sz w:val="22"/>
                <w:szCs w:val="22"/>
              </w:rPr>
            </w:pPr>
            <w:r>
              <w:rPr>
                <w:color w:val="000000"/>
                <w:sz w:val="22"/>
                <w:szCs w:val="22"/>
              </w:rPr>
              <w:t>Template</w:t>
            </w:r>
            <w:r w:rsidR="008E5895">
              <w:rPr>
                <w:color w:val="000000"/>
                <w:sz w:val="22"/>
                <w:szCs w:val="22"/>
              </w:rPr>
              <w:t xml:space="preserve"> CEA budget, with guidance on what should be included and how to calculate costs. </w:t>
            </w:r>
          </w:p>
        </w:tc>
      </w:tr>
      <w:tr w:rsidR="00CE2067" w14:paraId="514416BC" w14:textId="77777777" w:rsidTr="0030759D">
        <w:tc>
          <w:tcPr>
            <w:tcW w:w="381" w:type="pct"/>
          </w:tcPr>
          <w:p w14:paraId="28EFB905" w14:textId="546C04CC" w:rsidR="00CE2067" w:rsidRPr="005E194B" w:rsidRDefault="008E5895" w:rsidP="00547455">
            <w:pPr>
              <w:spacing w:after="120" w:line="276" w:lineRule="auto"/>
              <w:rPr>
                <w:sz w:val="22"/>
                <w:szCs w:val="22"/>
              </w:rPr>
            </w:pPr>
            <w:r>
              <w:rPr>
                <w:sz w:val="22"/>
                <w:szCs w:val="22"/>
              </w:rPr>
              <w:t>7</w:t>
            </w:r>
          </w:p>
        </w:tc>
        <w:tc>
          <w:tcPr>
            <w:tcW w:w="1190" w:type="pct"/>
          </w:tcPr>
          <w:p w14:paraId="0F99B506" w14:textId="77777777" w:rsidR="00CE2067" w:rsidRPr="005E194B" w:rsidRDefault="00CE2067" w:rsidP="00547455">
            <w:pPr>
              <w:spacing w:after="120" w:line="276" w:lineRule="auto"/>
              <w:rPr>
                <w:sz w:val="22"/>
                <w:szCs w:val="22"/>
              </w:rPr>
            </w:pPr>
            <w:r w:rsidRPr="005E194B">
              <w:rPr>
                <w:sz w:val="22"/>
                <w:szCs w:val="22"/>
              </w:rPr>
              <w:t>CEA M&amp;E tool</w:t>
            </w:r>
          </w:p>
        </w:tc>
        <w:tc>
          <w:tcPr>
            <w:tcW w:w="3429" w:type="pct"/>
          </w:tcPr>
          <w:p w14:paraId="021741CD" w14:textId="26456B47" w:rsidR="00CE2067" w:rsidRPr="0030759D" w:rsidRDefault="002C0B55" w:rsidP="00547455">
            <w:pPr>
              <w:pBdr>
                <w:top w:val="nil"/>
                <w:left w:val="nil"/>
                <w:bottom w:val="nil"/>
                <w:right w:val="nil"/>
                <w:between w:val="nil"/>
              </w:pBdr>
              <w:spacing w:after="120" w:line="276" w:lineRule="auto"/>
              <w:rPr>
                <w:color w:val="000000"/>
                <w:sz w:val="22"/>
                <w:szCs w:val="22"/>
              </w:rPr>
            </w:pPr>
            <w:r>
              <w:rPr>
                <w:color w:val="000000"/>
                <w:sz w:val="22"/>
                <w:szCs w:val="22"/>
              </w:rPr>
              <w:t>A comprehensive M&amp;E tool for CEA, which includes indicators, questions, means of verification and suggested targets for monitoring CEA at the institutional level and within programmes and emergency operation</w:t>
            </w:r>
            <w:r w:rsidR="00280A66">
              <w:rPr>
                <w:color w:val="000000"/>
                <w:sz w:val="22"/>
                <w:szCs w:val="22"/>
              </w:rPr>
              <w:t>s</w:t>
            </w:r>
            <w:r>
              <w:rPr>
                <w:color w:val="000000"/>
                <w:sz w:val="22"/>
                <w:szCs w:val="22"/>
              </w:rPr>
              <w:t xml:space="preserve">. Each tab includes priority indicators, and a broader choice of options if needed. There is also a tab with indicators for IFRC, ICRC and partner National Societies to monitor levels of CEA within their own organization, the quality of CEA support provided to National Societies and global indicators to measure progress against the minimum commitments </w:t>
            </w:r>
            <w:r w:rsidR="0030759D">
              <w:rPr>
                <w:color w:val="000000"/>
                <w:sz w:val="22"/>
                <w:szCs w:val="22"/>
              </w:rPr>
              <w:t xml:space="preserve">to CEA. There is also a tab with questions and answer options for baseline surveys and evaluations. </w:t>
            </w:r>
          </w:p>
        </w:tc>
      </w:tr>
      <w:tr w:rsidR="0030759D" w14:paraId="55379FCD" w14:textId="77777777" w:rsidTr="0030759D">
        <w:tc>
          <w:tcPr>
            <w:tcW w:w="381" w:type="pct"/>
          </w:tcPr>
          <w:p w14:paraId="3C290C28" w14:textId="1E663828" w:rsidR="0030759D" w:rsidRPr="005E194B" w:rsidRDefault="0030759D" w:rsidP="00547455">
            <w:pPr>
              <w:spacing w:after="120" w:line="276" w:lineRule="auto"/>
              <w:rPr>
                <w:sz w:val="22"/>
                <w:szCs w:val="22"/>
              </w:rPr>
            </w:pPr>
            <w:r>
              <w:rPr>
                <w:sz w:val="22"/>
                <w:szCs w:val="22"/>
              </w:rPr>
              <w:t>8</w:t>
            </w:r>
          </w:p>
        </w:tc>
        <w:tc>
          <w:tcPr>
            <w:tcW w:w="1190" w:type="pct"/>
          </w:tcPr>
          <w:p w14:paraId="0DC42D8E" w14:textId="7214E3DB" w:rsidR="0030759D" w:rsidRPr="005E194B" w:rsidRDefault="0030759D" w:rsidP="00547455">
            <w:pPr>
              <w:spacing w:after="120" w:line="276" w:lineRule="auto"/>
              <w:rPr>
                <w:sz w:val="22"/>
                <w:szCs w:val="22"/>
              </w:rPr>
            </w:pPr>
            <w:r w:rsidRPr="005E194B">
              <w:rPr>
                <w:sz w:val="22"/>
                <w:szCs w:val="22"/>
              </w:rPr>
              <w:t xml:space="preserve">CEA job descriptions </w:t>
            </w:r>
          </w:p>
        </w:tc>
        <w:tc>
          <w:tcPr>
            <w:tcW w:w="3429" w:type="pct"/>
          </w:tcPr>
          <w:p w14:paraId="2FA12C92" w14:textId="103A35D9" w:rsidR="0030759D" w:rsidRPr="0030759D" w:rsidRDefault="0030759D" w:rsidP="00547455">
            <w:pPr>
              <w:pBdr>
                <w:top w:val="nil"/>
                <w:left w:val="nil"/>
                <w:bottom w:val="nil"/>
                <w:right w:val="nil"/>
                <w:between w:val="nil"/>
              </w:pBdr>
              <w:spacing w:after="120" w:line="276" w:lineRule="auto"/>
              <w:rPr>
                <w:color w:val="000000"/>
                <w:sz w:val="22"/>
                <w:szCs w:val="22"/>
              </w:rPr>
            </w:pPr>
            <w:r>
              <w:rPr>
                <w:color w:val="000000"/>
                <w:sz w:val="22"/>
                <w:szCs w:val="22"/>
              </w:rPr>
              <w:t xml:space="preserve">Includes examples of CEA responsibilities that can be added to job descriptions, sample CEA-specific job descriptions, CEA competencies and CEA surge role profiles. </w:t>
            </w:r>
          </w:p>
        </w:tc>
      </w:tr>
      <w:tr w:rsidR="0030759D" w14:paraId="3DFD488A" w14:textId="77777777" w:rsidTr="0030759D">
        <w:tc>
          <w:tcPr>
            <w:tcW w:w="381" w:type="pct"/>
          </w:tcPr>
          <w:p w14:paraId="157936BA" w14:textId="1F4BDE3C" w:rsidR="0030759D" w:rsidRPr="005E194B" w:rsidRDefault="0030759D" w:rsidP="00547455">
            <w:pPr>
              <w:spacing w:after="120" w:line="276" w:lineRule="auto"/>
              <w:rPr>
                <w:sz w:val="22"/>
                <w:szCs w:val="22"/>
              </w:rPr>
            </w:pPr>
            <w:r>
              <w:rPr>
                <w:sz w:val="22"/>
                <w:szCs w:val="22"/>
              </w:rPr>
              <w:lastRenderedPageBreak/>
              <w:t>9</w:t>
            </w:r>
          </w:p>
        </w:tc>
        <w:tc>
          <w:tcPr>
            <w:tcW w:w="1190" w:type="pct"/>
          </w:tcPr>
          <w:p w14:paraId="229E9FE9" w14:textId="66507513" w:rsidR="0030759D" w:rsidRPr="005E194B" w:rsidRDefault="0030759D" w:rsidP="00547455">
            <w:pPr>
              <w:spacing w:after="120" w:line="276" w:lineRule="auto"/>
              <w:rPr>
                <w:sz w:val="22"/>
                <w:szCs w:val="22"/>
              </w:rPr>
            </w:pPr>
            <w:r w:rsidRPr="005E194B">
              <w:rPr>
                <w:sz w:val="22"/>
                <w:szCs w:val="22"/>
              </w:rPr>
              <w:t>Briefing on CEA for new staff and volunteers</w:t>
            </w:r>
          </w:p>
        </w:tc>
        <w:tc>
          <w:tcPr>
            <w:tcW w:w="3429" w:type="pct"/>
          </w:tcPr>
          <w:p w14:paraId="4315FFA6" w14:textId="7357CDE5" w:rsidR="0030759D" w:rsidRPr="005E194B" w:rsidRDefault="0030759D" w:rsidP="00547455">
            <w:pPr>
              <w:pBdr>
                <w:top w:val="nil"/>
                <w:left w:val="nil"/>
                <w:bottom w:val="nil"/>
                <w:right w:val="nil"/>
                <w:between w:val="nil"/>
              </w:pBdr>
              <w:spacing w:after="120" w:line="276" w:lineRule="auto"/>
              <w:rPr>
                <w:color w:val="000000"/>
                <w:sz w:val="22"/>
                <w:szCs w:val="22"/>
              </w:rPr>
            </w:pPr>
            <w:r>
              <w:rPr>
                <w:color w:val="000000"/>
                <w:sz w:val="22"/>
                <w:szCs w:val="22"/>
              </w:rPr>
              <w:t xml:space="preserve">A template briefing document that can be given to new staff outlining what CEA is, the minimum commitments and actions, CEA activities and contacts within the country or region and where people can get more information and resources. </w:t>
            </w:r>
          </w:p>
        </w:tc>
      </w:tr>
      <w:tr w:rsidR="0030759D" w14:paraId="5C737EF5" w14:textId="77777777" w:rsidTr="0030759D">
        <w:tc>
          <w:tcPr>
            <w:tcW w:w="381" w:type="pct"/>
          </w:tcPr>
          <w:p w14:paraId="4CBC3E81" w14:textId="23462344" w:rsidR="0030759D" w:rsidRPr="005E194B" w:rsidRDefault="0030759D" w:rsidP="00547455">
            <w:pPr>
              <w:spacing w:after="120" w:line="276" w:lineRule="auto"/>
              <w:rPr>
                <w:sz w:val="22"/>
                <w:szCs w:val="22"/>
              </w:rPr>
            </w:pPr>
            <w:r w:rsidRPr="005E194B">
              <w:rPr>
                <w:sz w:val="22"/>
                <w:szCs w:val="22"/>
              </w:rPr>
              <w:t>1</w:t>
            </w:r>
            <w:r>
              <w:rPr>
                <w:sz w:val="22"/>
                <w:szCs w:val="22"/>
              </w:rPr>
              <w:t>0</w:t>
            </w:r>
          </w:p>
        </w:tc>
        <w:tc>
          <w:tcPr>
            <w:tcW w:w="1190" w:type="pct"/>
          </w:tcPr>
          <w:p w14:paraId="6CB6BC6B" w14:textId="77777777" w:rsidR="0030759D" w:rsidRPr="005E194B" w:rsidRDefault="0030759D" w:rsidP="00547455">
            <w:pPr>
              <w:spacing w:after="120" w:line="276" w:lineRule="auto"/>
              <w:rPr>
                <w:sz w:val="22"/>
                <w:szCs w:val="22"/>
              </w:rPr>
            </w:pPr>
            <w:r w:rsidRPr="005E194B">
              <w:rPr>
                <w:sz w:val="22"/>
                <w:szCs w:val="22"/>
              </w:rPr>
              <w:t>Code of Conduct briefing</w:t>
            </w:r>
          </w:p>
        </w:tc>
        <w:tc>
          <w:tcPr>
            <w:tcW w:w="3429" w:type="pct"/>
          </w:tcPr>
          <w:p w14:paraId="50656228" w14:textId="737DFFAC" w:rsidR="0030759D" w:rsidRPr="0030759D" w:rsidRDefault="0030759D" w:rsidP="00547455">
            <w:pPr>
              <w:pBdr>
                <w:top w:val="nil"/>
                <w:left w:val="nil"/>
                <w:bottom w:val="nil"/>
                <w:right w:val="nil"/>
                <w:between w:val="nil"/>
              </w:pBdr>
              <w:spacing w:after="120" w:line="276" w:lineRule="auto"/>
              <w:rPr>
                <w:color w:val="000000"/>
                <w:sz w:val="22"/>
                <w:szCs w:val="22"/>
              </w:rPr>
            </w:pPr>
            <w:r>
              <w:rPr>
                <w:color w:val="000000"/>
                <w:sz w:val="22"/>
                <w:szCs w:val="22"/>
              </w:rPr>
              <w:t xml:space="preserve">A briefing for new staff </w:t>
            </w:r>
            <w:r w:rsidR="00280A66">
              <w:rPr>
                <w:color w:val="000000"/>
                <w:sz w:val="22"/>
                <w:szCs w:val="22"/>
              </w:rPr>
              <w:t xml:space="preserve">and volunteers </w:t>
            </w:r>
            <w:r>
              <w:rPr>
                <w:color w:val="000000"/>
                <w:sz w:val="22"/>
                <w:szCs w:val="22"/>
              </w:rPr>
              <w:t xml:space="preserve">on the Code of Conduct and what this means for their behaviour in communities, including an overview of safeguarding policies such as prevention of sexual exploitation and abuse, child safeguarding etc. </w:t>
            </w:r>
          </w:p>
        </w:tc>
      </w:tr>
      <w:tr w:rsidR="0030759D" w14:paraId="038D9CE9" w14:textId="77777777" w:rsidTr="0030759D">
        <w:tc>
          <w:tcPr>
            <w:tcW w:w="381" w:type="pct"/>
            <w:shd w:val="clear" w:color="auto" w:fill="auto"/>
          </w:tcPr>
          <w:p w14:paraId="55DA6275" w14:textId="3205382A" w:rsidR="0030759D" w:rsidRPr="005E194B" w:rsidRDefault="0030759D" w:rsidP="00547455">
            <w:pPr>
              <w:spacing w:after="120" w:line="276" w:lineRule="auto"/>
              <w:rPr>
                <w:sz w:val="22"/>
                <w:szCs w:val="22"/>
              </w:rPr>
            </w:pPr>
            <w:r w:rsidRPr="005E194B">
              <w:rPr>
                <w:sz w:val="22"/>
                <w:szCs w:val="22"/>
              </w:rPr>
              <w:t>1</w:t>
            </w:r>
            <w:r>
              <w:rPr>
                <w:sz w:val="22"/>
                <w:szCs w:val="22"/>
              </w:rPr>
              <w:t>1</w:t>
            </w:r>
          </w:p>
        </w:tc>
        <w:tc>
          <w:tcPr>
            <w:tcW w:w="1190" w:type="pct"/>
            <w:shd w:val="clear" w:color="auto" w:fill="auto"/>
          </w:tcPr>
          <w:p w14:paraId="35FFFA19" w14:textId="77777777" w:rsidR="0030759D" w:rsidRPr="005E194B" w:rsidRDefault="0030759D" w:rsidP="00547455">
            <w:pPr>
              <w:spacing w:after="120" w:line="276" w:lineRule="auto"/>
              <w:rPr>
                <w:sz w:val="22"/>
                <w:szCs w:val="22"/>
              </w:rPr>
            </w:pPr>
            <w:r w:rsidRPr="005E194B">
              <w:rPr>
                <w:sz w:val="22"/>
                <w:szCs w:val="22"/>
              </w:rPr>
              <w:t>CEA checklist for plans</w:t>
            </w:r>
          </w:p>
          <w:p w14:paraId="382A5185" w14:textId="77777777" w:rsidR="0030759D" w:rsidRPr="005E194B" w:rsidRDefault="0030759D" w:rsidP="00547455">
            <w:pPr>
              <w:spacing w:after="120" w:line="276" w:lineRule="auto"/>
              <w:rPr>
                <w:sz w:val="22"/>
                <w:szCs w:val="22"/>
              </w:rPr>
            </w:pPr>
          </w:p>
        </w:tc>
        <w:tc>
          <w:tcPr>
            <w:tcW w:w="3429" w:type="pct"/>
            <w:shd w:val="clear" w:color="auto" w:fill="auto"/>
          </w:tcPr>
          <w:p w14:paraId="70A84C8C" w14:textId="478AC6FE" w:rsidR="0030759D" w:rsidRPr="0030759D" w:rsidRDefault="0030759D" w:rsidP="00547455">
            <w:pPr>
              <w:pBdr>
                <w:top w:val="nil"/>
                <w:left w:val="nil"/>
                <w:bottom w:val="nil"/>
                <w:right w:val="nil"/>
                <w:between w:val="nil"/>
              </w:pBdr>
              <w:spacing w:after="120" w:line="276" w:lineRule="auto"/>
              <w:rPr>
                <w:color w:val="000000"/>
                <w:sz w:val="22"/>
                <w:szCs w:val="22"/>
              </w:rPr>
            </w:pPr>
            <w:r>
              <w:rPr>
                <w:color w:val="000000"/>
                <w:sz w:val="22"/>
                <w:szCs w:val="22"/>
              </w:rPr>
              <w:t>A s</w:t>
            </w:r>
            <w:r w:rsidRPr="005E194B">
              <w:rPr>
                <w:color w:val="000000"/>
                <w:sz w:val="22"/>
                <w:szCs w:val="22"/>
              </w:rPr>
              <w:t xml:space="preserve">imple checklist </w:t>
            </w:r>
            <w:r>
              <w:rPr>
                <w:color w:val="000000"/>
                <w:sz w:val="22"/>
                <w:szCs w:val="22"/>
              </w:rPr>
              <w:t>for programme managers, sector</w:t>
            </w:r>
            <w:r w:rsidR="00280A66">
              <w:rPr>
                <w:color w:val="000000"/>
                <w:sz w:val="22"/>
                <w:szCs w:val="22"/>
              </w:rPr>
              <w:t>s,</w:t>
            </w:r>
            <w:r>
              <w:rPr>
                <w:color w:val="000000"/>
                <w:sz w:val="22"/>
                <w:szCs w:val="22"/>
              </w:rPr>
              <w:t xml:space="preserve"> department heads, and PMER staff to use to assess if a programme plan has sufficiently included CEA.</w:t>
            </w:r>
          </w:p>
        </w:tc>
      </w:tr>
      <w:tr w:rsidR="0030759D" w14:paraId="4C8A8476" w14:textId="77777777" w:rsidTr="0030759D">
        <w:tc>
          <w:tcPr>
            <w:tcW w:w="381" w:type="pct"/>
            <w:shd w:val="clear" w:color="auto" w:fill="FFFFFF"/>
          </w:tcPr>
          <w:p w14:paraId="6AC94878" w14:textId="4FFF1E1B" w:rsidR="0030759D" w:rsidRPr="005E194B" w:rsidRDefault="0030759D" w:rsidP="00547455">
            <w:pPr>
              <w:spacing w:after="120" w:line="276" w:lineRule="auto"/>
              <w:rPr>
                <w:sz w:val="22"/>
                <w:szCs w:val="22"/>
              </w:rPr>
            </w:pPr>
            <w:r w:rsidRPr="005E194B">
              <w:rPr>
                <w:sz w:val="22"/>
                <w:szCs w:val="22"/>
              </w:rPr>
              <w:t>1</w:t>
            </w:r>
            <w:r>
              <w:rPr>
                <w:sz w:val="22"/>
                <w:szCs w:val="22"/>
              </w:rPr>
              <w:t>2</w:t>
            </w:r>
          </w:p>
        </w:tc>
        <w:tc>
          <w:tcPr>
            <w:tcW w:w="1190" w:type="pct"/>
            <w:shd w:val="clear" w:color="auto" w:fill="FFFFFF"/>
          </w:tcPr>
          <w:p w14:paraId="46EE1BC7" w14:textId="77777777" w:rsidR="0030759D" w:rsidRPr="005E194B" w:rsidRDefault="0030759D" w:rsidP="00547455">
            <w:pPr>
              <w:spacing w:after="120" w:line="276" w:lineRule="auto"/>
              <w:rPr>
                <w:sz w:val="22"/>
                <w:szCs w:val="22"/>
              </w:rPr>
            </w:pPr>
            <w:r w:rsidRPr="005E194B">
              <w:rPr>
                <w:sz w:val="22"/>
                <w:szCs w:val="22"/>
              </w:rPr>
              <w:t>CEA Case study template</w:t>
            </w:r>
          </w:p>
          <w:p w14:paraId="37AC889F" w14:textId="77777777" w:rsidR="0030759D" w:rsidRPr="005E194B" w:rsidRDefault="0030759D" w:rsidP="00547455">
            <w:pPr>
              <w:spacing w:after="120" w:line="276" w:lineRule="auto"/>
              <w:rPr>
                <w:sz w:val="22"/>
                <w:szCs w:val="22"/>
              </w:rPr>
            </w:pPr>
          </w:p>
        </w:tc>
        <w:tc>
          <w:tcPr>
            <w:tcW w:w="3429" w:type="pct"/>
            <w:shd w:val="clear" w:color="auto" w:fill="FFFFFF"/>
          </w:tcPr>
          <w:p w14:paraId="3BC34067" w14:textId="40E8A7A6" w:rsidR="0030759D" w:rsidRPr="005E194B" w:rsidRDefault="006453D1" w:rsidP="00547455">
            <w:pPr>
              <w:pBdr>
                <w:top w:val="nil"/>
                <w:left w:val="nil"/>
                <w:bottom w:val="nil"/>
                <w:right w:val="nil"/>
                <w:between w:val="nil"/>
              </w:pBdr>
              <w:spacing w:after="120" w:line="276" w:lineRule="auto"/>
              <w:rPr>
                <w:sz w:val="22"/>
                <w:szCs w:val="22"/>
              </w:rPr>
            </w:pPr>
            <w:r>
              <w:rPr>
                <w:sz w:val="22"/>
                <w:szCs w:val="22"/>
              </w:rPr>
              <w:t xml:space="preserve">A template and guidance for writing a CEA case study to </w:t>
            </w:r>
            <w:r w:rsidR="00280A66">
              <w:rPr>
                <w:sz w:val="22"/>
                <w:szCs w:val="22"/>
              </w:rPr>
              <w:t xml:space="preserve">document </w:t>
            </w:r>
            <w:r>
              <w:rPr>
                <w:sz w:val="22"/>
                <w:szCs w:val="22"/>
              </w:rPr>
              <w:t>the CEA approaches or activities implemented, the impact they had, and any lessons learned.</w:t>
            </w:r>
            <w:r w:rsidRPr="006453D1">
              <w:rPr>
                <w:sz w:val="22"/>
                <w:szCs w:val="22"/>
              </w:rPr>
              <w:t xml:space="preserve"> </w:t>
            </w:r>
          </w:p>
        </w:tc>
      </w:tr>
      <w:tr w:rsidR="0030759D" w14:paraId="767DD02D" w14:textId="77777777" w:rsidTr="0030759D">
        <w:tc>
          <w:tcPr>
            <w:tcW w:w="381" w:type="pct"/>
          </w:tcPr>
          <w:p w14:paraId="6D28A96F" w14:textId="16FA62B8" w:rsidR="0030759D" w:rsidRPr="005E194B" w:rsidRDefault="0030759D" w:rsidP="00547455">
            <w:pPr>
              <w:spacing w:after="120" w:line="276" w:lineRule="auto"/>
              <w:rPr>
                <w:sz w:val="22"/>
                <w:szCs w:val="22"/>
              </w:rPr>
            </w:pPr>
            <w:r w:rsidRPr="005E194B">
              <w:rPr>
                <w:sz w:val="22"/>
                <w:szCs w:val="22"/>
              </w:rPr>
              <w:t>1</w:t>
            </w:r>
            <w:r w:rsidR="006453D1">
              <w:rPr>
                <w:sz w:val="22"/>
                <w:szCs w:val="22"/>
              </w:rPr>
              <w:t>3</w:t>
            </w:r>
          </w:p>
        </w:tc>
        <w:tc>
          <w:tcPr>
            <w:tcW w:w="1190" w:type="pct"/>
          </w:tcPr>
          <w:p w14:paraId="4BF90162" w14:textId="77777777" w:rsidR="0030759D" w:rsidRPr="005E194B" w:rsidRDefault="0030759D" w:rsidP="00547455">
            <w:pPr>
              <w:spacing w:after="120" w:line="276" w:lineRule="auto"/>
              <w:rPr>
                <w:sz w:val="22"/>
                <w:szCs w:val="22"/>
              </w:rPr>
            </w:pPr>
            <w:r w:rsidRPr="005E194B">
              <w:rPr>
                <w:sz w:val="22"/>
                <w:szCs w:val="22"/>
              </w:rPr>
              <w:t>CEA in Assessments tool</w:t>
            </w:r>
          </w:p>
        </w:tc>
        <w:tc>
          <w:tcPr>
            <w:tcW w:w="3429" w:type="pct"/>
          </w:tcPr>
          <w:p w14:paraId="46319068" w14:textId="38745350" w:rsidR="0030759D" w:rsidRPr="006453D1" w:rsidRDefault="006453D1" w:rsidP="00547455">
            <w:pPr>
              <w:pBdr>
                <w:top w:val="nil"/>
                <w:left w:val="nil"/>
                <w:bottom w:val="nil"/>
                <w:right w:val="nil"/>
                <w:between w:val="nil"/>
              </w:pBdr>
              <w:spacing w:after="120" w:line="276" w:lineRule="auto"/>
              <w:rPr>
                <w:sz w:val="22"/>
                <w:szCs w:val="22"/>
              </w:rPr>
            </w:pPr>
            <w:r>
              <w:rPr>
                <w:color w:val="000000"/>
                <w:sz w:val="22"/>
                <w:szCs w:val="22"/>
              </w:rPr>
              <w:t xml:space="preserve">An outline of the type of data that should be collected for CEA during an assessment, including </w:t>
            </w:r>
            <w:r w:rsidRPr="006453D1">
              <w:rPr>
                <w:sz w:val="22"/>
                <w:szCs w:val="22"/>
              </w:rPr>
              <w:t>methods for collection, priority questions to include in assessment surveys</w:t>
            </w:r>
            <w:r>
              <w:rPr>
                <w:sz w:val="22"/>
                <w:szCs w:val="22"/>
              </w:rPr>
              <w:t xml:space="preserve">, </w:t>
            </w:r>
            <w:r w:rsidRPr="006453D1">
              <w:rPr>
                <w:sz w:val="22"/>
                <w:szCs w:val="22"/>
              </w:rPr>
              <w:t>tips for data collection and sources of secondary data.</w:t>
            </w:r>
            <w:r>
              <w:rPr>
                <w:sz w:val="22"/>
                <w:szCs w:val="22"/>
              </w:rPr>
              <w:t xml:space="preserve"> The tool also maps out which data to collect during each stage of an emergency response and has guidance on how to </w:t>
            </w:r>
            <w:r w:rsidRPr="006453D1">
              <w:rPr>
                <w:sz w:val="22"/>
                <w:szCs w:val="22"/>
              </w:rPr>
              <w:t xml:space="preserve">analyse community engagement data using the IFRC analysis framework. </w:t>
            </w:r>
          </w:p>
        </w:tc>
      </w:tr>
      <w:tr w:rsidR="006453D1" w14:paraId="1A50316D" w14:textId="77777777" w:rsidTr="0030759D">
        <w:tc>
          <w:tcPr>
            <w:tcW w:w="381" w:type="pct"/>
          </w:tcPr>
          <w:p w14:paraId="287638A1" w14:textId="1E56175E" w:rsidR="006453D1" w:rsidRPr="005E194B" w:rsidRDefault="006453D1" w:rsidP="00547455">
            <w:pPr>
              <w:spacing w:after="120" w:line="276" w:lineRule="auto"/>
              <w:rPr>
                <w:sz w:val="22"/>
                <w:szCs w:val="22"/>
              </w:rPr>
            </w:pPr>
            <w:r w:rsidRPr="005E194B">
              <w:rPr>
                <w:sz w:val="22"/>
                <w:szCs w:val="22"/>
              </w:rPr>
              <w:t>1</w:t>
            </w:r>
            <w:r w:rsidR="00547455">
              <w:rPr>
                <w:sz w:val="22"/>
                <w:szCs w:val="22"/>
              </w:rPr>
              <w:t>4</w:t>
            </w:r>
          </w:p>
        </w:tc>
        <w:tc>
          <w:tcPr>
            <w:tcW w:w="1190" w:type="pct"/>
          </w:tcPr>
          <w:p w14:paraId="5A6737E0" w14:textId="3055C00B" w:rsidR="006453D1" w:rsidRPr="005E194B" w:rsidRDefault="006453D1" w:rsidP="00547455">
            <w:pPr>
              <w:spacing w:after="120" w:line="276" w:lineRule="auto"/>
              <w:rPr>
                <w:sz w:val="22"/>
                <w:szCs w:val="22"/>
              </w:rPr>
            </w:pPr>
            <w:r w:rsidRPr="005E194B">
              <w:rPr>
                <w:sz w:val="22"/>
                <w:szCs w:val="22"/>
              </w:rPr>
              <w:t>Q&amp;A sheet for volunteers</w:t>
            </w:r>
          </w:p>
        </w:tc>
        <w:tc>
          <w:tcPr>
            <w:tcW w:w="3429" w:type="pct"/>
          </w:tcPr>
          <w:p w14:paraId="44D77FD7" w14:textId="4F50CDDD" w:rsidR="006453D1" w:rsidRDefault="006453D1" w:rsidP="00547455">
            <w:pPr>
              <w:pBdr>
                <w:top w:val="nil"/>
                <w:left w:val="nil"/>
                <w:bottom w:val="nil"/>
                <w:right w:val="nil"/>
                <w:between w:val="nil"/>
              </w:pBdr>
              <w:spacing w:after="120" w:line="276" w:lineRule="auto"/>
              <w:rPr>
                <w:color w:val="000000"/>
                <w:sz w:val="22"/>
                <w:szCs w:val="22"/>
              </w:rPr>
            </w:pPr>
            <w:r>
              <w:rPr>
                <w:color w:val="000000"/>
                <w:sz w:val="22"/>
                <w:szCs w:val="22"/>
              </w:rPr>
              <w:t xml:space="preserve">A simple frequently asked questions and answer sheet </w:t>
            </w:r>
            <w:r w:rsidR="00547455">
              <w:rPr>
                <w:color w:val="000000"/>
                <w:sz w:val="22"/>
                <w:szCs w:val="22"/>
              </w:rPr>
              <w:t xml:space="preserve">to give to volunteers to help them respond accurately to questions from community members. </w:t>
            </w:r>
          </w:p>
        </w:tc>
      </w:tr>
      <w:tr w:rsidR="006453D1" w14:paraId="14BBBB83" w14:textId="77777777" w:rsidTr="0030759D">
        <w:tc>
          <w:tcPr>
            <w:tcW w:w="381" w:type="pct"/>
          </w:tcPr>
          <w:p w14:paraId="53A84BDA" w14:textId="77FDF7A5" w:rsidR="006453D1" w:rsidRPr="005E194B" w:rsidRDefault="006453D1" w:rsidP="00547455">
            <w:pPr>
              <w:spacing w:after="120" w:line="276" w:lineRule="auto"/>
              <w:rPr>
                <w:sz w:val="22"/>
                <w:szCs w:val="22"/>
              </w:rPr>
            </w:pPr>
            <w:r w:rsidRPr="005E194B">
              <w:rPr>
                <w:sz w:val="22"/>
                <w:szCs w:val="22"/>
              </w:rPr>
              <w:t>1</w:t>
            </w:r>
            <w:r w:rsidR="00547455">
              <w:rPr>
                <w:sz w:val="22"/>
                <w:szCs w:val="22"/>
              </w:rPr>
              <w:t>5</w:t>
            </w:r>
          </w:p>
        </w:tc>
        <w:tc>
          <w:tcPr>
            <w:tcW w:w="1190" w:type="pct"/>
          </w:tcPr>
          <w:p w14:paraId="7A72CD9F" w14:textId="522EA21F" w:rsidR="006453D1" w:rsidRPr="005E194B" w:rsidRDefault="00547455" w:rsidP="00547455">
            <w:pPr>
              <w:spacing w:after="120" w:line="276" w:lineRule="auto"/>
              <w:rPr>
                <w:sz w:val="22"/>
                <w:szCs w:val="22"/>
              </w:rPr>
            </w:pPr>
            <w:r>
              <w:rPr>
                <w:sz w:val="22"/>
                <w:szCs w:val="22"/>
              </w:rPr>
              <w:t>Feedback Kit</w:t>
            </w:r>
          </w:p>
        </w:tc>
        <w:tc>
          <w:tcPr>
            <w:tcW w:w="3429" w:type="pct"/>
          </w:tcPr>
          <w:p w14:paraId="285D0CAB" w14:textId="2CD3C52C" w:rsidR="006453D1" w:rsidRPr="00547455" w:rsidRDefault="00547455" w:rsidP="00547455">
            <w:pPr>
              <w:spacing w:after="120" w:line="276" w:lineRule="auto"/>
              <w:rPr>
                <w:color w:val="000000"/>
                <w:sz w:val="22"/>
                <w:szCs w:val="22"/>
              </w:rPr>
            </w:pPr>
            <w:r>
              <w:rPr>
                <w:color w:val="000000"/>
                <w:sz w:val="22"/>
                <w:szCs w:val="22"/>
              </w:rPr>
              <w:t>Provides</w:t>
            </w:r>
            <w:r w:rsidRPr="00547455">
              <w:rPr>
                <w:color w:val="000000"/>
                <w:sz w:val="22"/>
                <w:szCs w:val="22"/>
              </w:rPr>
              <w:t xml:space="preserve"> the guidance and tools needed to systematically use community </w:t>
            </w:r>
            <w:r>
              <w:rPr>
                <w:color w:val="000000"/>
                <w:sz w:val="22"/>
                <w:szCs w:val="22"/>
              </w:rPr>
              <w:t>feedback</w:t>
            </w:r>
            <w:r w:rsidRPr="00547455">
              <w:rPr>
                <w:color w:val="000000"/>
                <w:sz w:val="22"/>
                <w:szCs w:val="22"/>
              </w:rPr>
              <w:t xml:space="preserve"> to improve programmes, operations and work more broadly. It includes the first steps to setting up a basic feedback mechanism, as well as guidance on how to conduct community perception surveys, how to analyse qualitative feedback comments, how to handle sensitive feedback, and ensure all feedback is handled responsibly. </w:t>
            </w:r>
          </w:p>
        </w:tc>
      </w:tr>
      <w:tr w:rsidR="00547455" w14:paraId="38DD9C6E" w14:textId="77777777" w:rsidTr="0030759D">
        <w:tc>
          <w:tcPr>
            <w:tcW w:w="381" w:type="pct"/>
          </w:tcPr>
          <w:p w14:paraId="01155DB2" w14:textId="55A5B945" w:rsidR="00547455" w:rsidRPr="005E194B" w:rsidRDefault="00547455" w:rsidP="00547455">
            <w:pPr>
              <w:spacing w:after="120" w:line="276" w:lineRule="auto"/>
              <w:rPr>
                <w:sz w:val="22"/>
                <w:szCs w:val="22"/>
              </w:rPr>
            </w:pPr>
            <w:r>
              <w:rPr>
                <w:sz w:val="22"/>
                <w:szCs w:val="22"/>
              </w:rPr>
              <w:t>16</w:t>
            </w:r>
          </w:p>
        </w:tc>
        <w:tc>
          <w:tcPr>
            <w:tcW w:w="1190" w:type="pct"/>
          </w:tcPr>
          <w:p w14:paraId="2BB8259F" w14:textId="43E99E1A" w:rsidR="00547455" w:rsidRPr="005E194B" w:rsidRDefault="00547455" w:rsidP="00547455">
            <w:pPr>
              <w:spacing w:after="120" w:line="276" w:lineRule="auto"/>
              <w:rPr>
                <w:sz w:val="22"/>
                <w:szCs w:val="22"/>
              </w:rPr>
            </w:pPr>
            <w:r w:rsidRPr="005E194B">
              <w:rPr>
                <w:sz w:val="22"/>
                <w:szCs w:val="22"/>
              </w:rPr>
              <w:t>FGD Guide</w:t>
            </w:r>
          </w:p>
        </w:tc>
        <w:tc>
          <w:tcPr>
            <w:tcW w:w="3429" w:type="pct"/>
          </w:tcPr>
          <w:p w14:paraId="40EC008B" w14:textId="1F1EF948" w:rsidR="00547455" w:rsidRPr="005E194B" w:rsidRDefault="00547455" w:rsidP="00547455">
            <w:pPr>
              <w:pBdr>
                <w:top w:val="nil"/>
                <w:left w:val="nil"/>
                <w:bottom w:val="nil"/>
                <w:right w:val="nil"/>
                <w:between w:val="nil"/>
              </w:pBdr>
              <w:spacing w:after="120" w:line="276" w:lineRule="auto"/>
              <w:rPr>
                <w:sz w:val="22"/>
                <w:szCs w:val="22"/>
              </w:rPr>
            </w:pPr>
            <w:r>
              <w:rPr>
                <w:sz w:val="22"/>
                <w:szCs w:val="22"/>
              </w:rPr>
              <w:t xml:space="preserve">Guidance on running an effective focus group discussion, including organization and </w:t>
            </w:r>
            <w:r w:rsidR="00A54186">
              <w:rPr>
                <w:sz w:val="22"/>
                <w:szCs w:val="22"/>
              </w:rPr>
              <w:t>roles and responsibilities, plus</w:t>
            </w:r>
            <w:r w:rsidR="00415F9C">
              <w:rPr>
                <w:sz w:val="22"/>
                <w:szCs w:val="22"/>
              </w:rPr>
              <w:t xml:space="preserve"> </w:t>
            </w:r>
            <w:r w:rsidR="00A54186">
              <w:rPr>
                <w:sz w:val="22"/>
                <w:szCs w:val="22"/>
              </w:rPr>
              <w:t xml:space="preserve">questions to ask </w:t>
            </w:r>
            <w:r w:rsidR="00415F9C">
              <w:rPr>
                <w:sz w:val="22"/>
                <w:szCs w:val="22"/>
              </w:rPr>
              <w:t xml:space="preserve">to help plan and monitor community engagement approaches. </w:t>
            </w:r>
          </w:p>
        </w:tc>
      </w:tr>
      <w:tr w:rsidR="00547455" w14:paraId="38766BFE" w14:textId="77777777" w:rsidTr="0030759D">
        <w:tc>
          <w:tcPr>
            <w:tcW w:w="381" w:type="pct"/>
          </w:tcPr>
          <w:p w14:paraId="28C6E9D3" w14:textId="241E6A3E" w:rsidR="00547455" w:rsidRPr="005E194B" w:rsidRDefault="00547455" w:rsidP="00547455">
            <w:pPr>
              <w:spacing w:after="120" w:line="276" w:lineRule="auto"/>
              <w:rPr>
                <w:sz w:val="22"/>
                <w:szCs w:val="22"/>
              </w:rPr>
            </w:pPr>
            <w:r w:rsidRPr="005E194B">
              <w:rPr>
                <w:sz w:val="22"/>
                <w:szCs w:val="22"/>
              </w:rPr>
              <w:t>1</w:t>
            </w:r>
            <w:r w:rsidR="00A54186">
              <w:rPr>
                <w:sz w:val="22"/>
                <w:szCs w:val="22"/>
              </w:rPr>
              <w:t>7</w:t>
            </w:r>
          </w:p>
        </w:tc>
        <w:tc>
          <w:tcPr>
            <w:tcW w:w="1190" w:type="pct"/>
          </w:tcPr>
          <w:p w14:paraId="72051087" w14:textId="77777777" w:rsidR="00547455" w:rsidRPr="005E194B" w:rsidRDefault="00547455" w:rsidP="00547455">
            <w:pPr>
              <w:spacing w:after="120" w:line="276" w:lineRule="auto"/>
              <w:rPr>
                <w:sz w:val="22"/>
                <w:szCs w:val="22"/>
              </w:rPr>
            </w:pPr>
            <w:r w:rsidRPr="005E194B">
              <w:rPr>
                <w:sz w:val="22"/>
                <w:szCs w:val="22"/>
              </w:rPr>
              <w:t>Community meetings tool</w:t>
            </w:r>
          </w:p>
          <w:p w14:paraId="4757F2D2" w14:textId="77777777" w:rsidR="00547455" w:rsidRPr="005E194B" w:rsidRDefault="00547455" w:rsidP="00547455">
            <w:pPr>
              <w:spacing w:after="120" w:line="276" w:lineRule="auto"/>
              <w:rPr>
                <w:sz w:val="22"/>
                <w:szCs w:val="22"/>
              </w:rPr>
            </w:pPr>
          </w:p>
        </w:tc>
        <w:tc>
          <w:tcPr>
            <w:tcW w:w="3429" w:type="pct"/>
          </w:tcPr>
          <w:p w14:paraId="6B29AA48" w14:textId="28C69EDA" w:rsidR="00547455" w:rsidRPr="005E194B" w:rsidRDefault="00A54186" w:rsidP="00A54186">
            <w:pPr>
              <w:pBdr>
                <w:top w:val="nil"/>
                <w:left w:val="nil"/>
                <w:bottom w:val="nil"/>
                <w:right w:val="nil"/>
                <w:between w:val="nil"/>
              </w:pBdr>
              <w:spacing w:after="120" w:line="276" w:lineRule="auto"/>
              <w:rPr>
                <w:sz w:val="22"/>
                <w:szCs w:val="22"/>
              </w:rPr>
            </w:pPr>
            <w:r>
              <w:rPr>
                <w:color w:val="000000"/>
                <w:sz w:val="22"/>
                <w:szCs w:val="22"/>
              </w:rPr>
              <w:t xml:space="preserve">Guidance on running an effective community meeting, including organization, how to document questions and feedback, and potential challenges and how to mitigate these. </w:t>
            </w:r>
          </w:p>
        </w:tc>
      </w:tr>
      <w:tr w:rsidR="00547455" w14:paraId="0234C1D9" w14:textId="77777777" w:rsidTr="00415F9C">
        <w:trPr>
          <w:trHeight w:val="1125"/>
        </w:trPr>
        <w:tc>
          <w:tcPr>
            <w:tcW w:w="381" w:type="pct"/>
            <w:shd w:val="clear" w:color="auto" w:fill="auto"/>
          </w:tcPr>
          <w:p w14:paraId="71743CE1" w14:textId="31BB5477" w:rsidR="00547455" w:rsidRPr="005E194B" w:rsidRDefault="00A54186" w:rsidP="00547455">
            <w:pPr>
              <w:spacing w:after="120" w:line="276" w:lineRule="auto"/>
              <w:rPr>
                <w:sz w:val="22"/>
                <w:szCs w:val="22"/>
              </w:rPr>
            </w:pPr>
            <w:r>
              <w:rPr>
                <w:sz w:val="22"/>
                <w:szCs w:val="22"/>
              </w:rPr>
              <w:lastRenderedPageBreak/>
              <w:t>18</w:t>
            </w:r>
          </w:p>
        </w:tc>
        <w:tc>
          <w:tcPr>
            <w:tcW w:w="1190" w:type="pct"/>
            <w:shd w:val="clear" w:color="auto" w:fill="auto"/>
          </w:tcPr>
          <w:p w14:paraId="0F7B8D69" w14:textId="7EEC575A" w:rsidR="00547455" w:rsidRPr="005E194B" w:rsidRDefault="00547455" w:rsidP="00547455">
            <w:pPr>
              <w:spacing w:after="120" w:line="276" w:lineRule="auto"/>
              <w:rPr>
                <w:sz w:val="22"/>
                <w:szCs w:val="22"/>
              </w:rPr>
            </w:pPr>
            <w:r w:rsidRPr="005E194B">
              <w:rPr>
                <w:sz w:val="22"/>
                <w:szCs w:val="22"/>
              </w:rPr>
              <w:t>Participatory approaches to selection criteria</w:t>
            </w:r>
          </w:p>
        </w:tc>
        <w:tc>
          <w:tcPr>
            <w:tcW w:w="3429" w:type="pct"/>
            <w:shd w:val="clear" w:color="auto" w:fill="auto"/>
          </w:tcPr>
          <w:p w14:paraId="64894BFB" w14:textId="736305E2" w:rsidR="00547455" w:rsidRPr="005E194B" w:rsidRDefault="00415F9C" w:rsidP="00415F9C">
            <w:pPr>
              <w:pBdr>
                <w:top w:val="nil"/>
                <w:left w:val="nil"/>
                <w:bottom w:val="nil"/>
                <w:right w:val="nil"/>
                <w:between w:val="nil"/>
              </w:pBdr>
              <w:spacing w:after="120" w:line="276" w:lineRule="auto"/>
              <w:rPr>
                <w:color w:val="000000"/>
                <w:sz w:val="22"/>
                <w:szCs w:val="22"/>
              </w:rPr>
            </w:pPr>
            <w:r>
              <w:rPr>
                <w:color w:val="000000"/>
                <w:sz w:val="22"/>
                <w:szCs w:val="22"/>
              </w:rPr>
              <w:t>Practical guidance on different participatory approaches and techniques to agree selection criteria with the community and to identify who should receive support, including do no harm considerations.</w:t>
            </w:r>
          </w:p>
        </w:tc>
      </w:tr>
      <w:tr w:rsidR="00547455" w14:paraId="7E23EA33" w14:textId="77777777" w:rsidTr="0030759D">
        <w:tc>
          <w:tcPr>
            <w:tcW w:w="381" w:type="pct"/>
          </w:tcPr>
          <w:p w14:paraId="3CFD4978" w14:textId="6827030F" w:rsidR="00547455" w:rsidRPr="005E194B" w:rsidRDefault="00A54186" w:rsidP="00547455">
            <w:pPr>
              <w:spacing w:after="120" w:line="276" w:lineRule="auto"/>
              <w:rPr>
                <w:sz w:val="22"/>
                <w:szCs w:val="22"/>
              </w:rPr>
            </w:pPr>
            <w:r>
              <w:rPr>
                <w:sz w:val="22"/>
                <w:szCs w:val="22"/>
              </w:rPr>
              <w:t>19</w:t>
            </w:r>
          </w:p>
        </w:tc>
        <w:tc>
          <w:tcPr>
            <w:tcW w:w="1190" w:type="pct"/>
          </w:tcPr>
          <w:p w14:paraId="5BF85DCE" w14:textId="77777777" w:rsidR="00547455" w:rsidRPr="00F24515" w:rsidRDefault="00547455" w:rsidP="00547455">
            <w:pPr>
              <w:spacing w:after="120" w:line="276" w:lineRule="auto"/>
              <w:rPr>
                <w:color w:val="000000"/>
                <w:sz w:val="22"/>
                <w:szCs w:val="22"/>
              </w:rPr>
            </w:pPr>
            <w:r w:rsidRPr="00F24515">
              <w:rPr>
                <w:color w:val="000000"/>
                <w:sz w:val="22"/>
                <w:szCs w:val="22"/>
              </w:rPr>
              <w:t>Communication channel matrix</w:t>
            </w:r>
          </w:p>
          <w:p w14:paraId="6233972D" w14:textId="77777777" w:rsidR="00547455" w:rsidRPr="00F24515" w:rsidRDefault="00547455" w:rsidP="00547455">
            <w:pPr>
              <w:spacing w:after="120" w:line="276" w:lineRule="auto"/>
              <w:rPr>
                <w:color w:val="000000"/>
                <w:sz w:val="22"/>
                <w:szCs w:val="22"/>
              </w:rPr>
            </w:pPr>
          </w:p>
        </w:tc>
        <w:tc>
          <w:tcPr>
            <w:tcW w:w="3429" w:type="pct"/>
          </w:tcPr>
          <w:p w14:paraId="7F411086" w14:textId="6386EE2A" w:rsidR="00547455" w:rsidRPr="00F24515" w:rsidRDefault="00F24515" w:rsidP="00520B54">
            <w:pPr>
              <w:pBdr>
                <w:top w:val="nil"/>
                <w:left w:val="nil"/>
                <w:bottom w:val="nil"/>
                <w:right w:val="nil"/>
                <w:between w:val="nil"/>
              </w:pBdr>
              <w:spacing w:after="120" w:line="276" w:lineRule="auto"/>
              <w:rPr>
                <w:color w:val="000000"/>
                <w:sz w:val="22"/>
                <w:szCs w:val="22"/>
              </w:rPr>
            </w:pPr>
            <w:r>
              <w:rPr>
                <w:color w:val="000000"/>
                <w:sz w:val="22"/>
                <w:szCs w:val="22"/>
              </w:rPr>
              <w:t xml:space="preserve">Outlines the advantages and disadvantages of different channels of communication, including what </w:t>
            </w:r>
            <w:r w:rsidR="00520B54">
              <w:rPr>
                <w:color w:val="000000"/>
                <w:sz w:val="22"/>
                <w:szCs w:val="22"/>
              </w:rPr>
              <w:t>channels are best suited for what type of activities and tips for using them.</w:t>
            </w:r>
          </w:p>
        </w:tc>
      </w:tr>
      <w:tr w:rsidR="00547455" w14:paraId="4F463C34" w14:textId="77777777" w:rsidTr="0030759D">
        <w:tc>
          <w:tcPr>
            <w:tcW w:w="381" w:type="pct"/>
          </w:tcPr>
          <w:p w14:paraId="42DC9ABE" w14:textId="028EE59B" w:rsidR="00547455" w:rsidRPr="005E194B" w:rsidRDefault="00547455" w:rsidP="00547455">
            <w:pPr>
              <w:spacing w:after="120" w:line="276" w:lineRule="auto"/>
              <w:rPr>
                <w:sz w:val="22"/>
                <w:szCs w:val="22"/>
              </w:rPr>
            </w:pPr>
            <w:r w:rsidRPr="005E194B">
              <w:rPr>
                <w:sz w:val="22"/>
                <w:szCs w:val="22"/>
              </w:rPr>
              <w:t>2</w:t>
            </w:r>
            <w:r w:rsidR="00A54186">
              <w:rPr>
                <w:sz w:val="22"/>
                <w:szCs w:val="22"/>
              </w:rPr>
              <w:t>0</w:t>
            </w:r>
          </w:p>
        </w:tc>
        <w:tc>
          <w:tcPr>
            <w:tcW w:w="1190" w:type="pct"/>
          </w:tcPr>
          <w:p w14:paraId="24293A60" w14:textId="77777777" w:rsidR="00547455" w:rsidRPr="005E194B" w:rsidRDefault="00547455" w:rsidP="00547455">
            <w:pPr>
              <w:spacing w:after="120" w:line="276" w:lineRule="auto"/>
              <w:rPr>
                <w:sz w:val="22"/>
                <w:szCs w:val="22"/>
              </w:rPr>
            </w:pPr>
            <w:r w:rsidRPr="005E194B">
              <w:rPr>
                <w:sz w:val="22"/>
                <w:szCs w:val="22"/>
              </w:rPr>
              <w:t>Exit strategy guidance</w:t>
            </w:r>
          </w:p>
        </w:tc>
        <w:tc>
          <w:tcPr>
            <w:tcW w:w="3429" w:type="pct"/>
          </w:tcPr>
          <w:p w14:paraId="796C6AB3" w14:textId="59C90F91" w:rsidR="00520B54" w:rsidRPr="005E194B" w:rsidRDefault="00520B54" w:rsidP="00520B54">
            <w:pPr>
              <w:pBdr>
                <w:top w:val="nil"/>
                <w:left w:val="nil"/>
                <w:bottom w:val="nil"/>
                <w:right w:val="nil"/>
                <w:between w:val="nil"/>
              </w:pBdr>
              <w:spacing w:after="120" w:line="276" w:lineRule="auto"/>
              <w:rPr>
                <w:color w:val="000000"/>
                <w:sz w:val="22"/>
                <w:szCs w:val="22"/>
              </w:rPr>
            </w:pPr>
            <w:r>
              <w:rPr>
                <w:color w:val="000000"/>
                <w:sz w:val="22"/>
                <w:szCs w:val="22"/>
              </w:rPr>
              <w:t xml:space="preserve">Guidance on </w:t>
            </w:r>
            <w:r w:rsidR="00A936CC">
              <w:rPr>
                <w:color w:val="000000"/>
                <w:sz w:val="22"/>
                <w:szCs w:val="22"/>
              </w:rPr>
              <w:t xml:space="preserve">engaging communities in planning programme closures, including ensuring they are well informed, can participate in decisions about what happens next, and have opportunities to provide feedback or ask questions. </w:t>
            </w:r>
          </w:p>
        </w:tc>
      </w:tr>
      <w:tr w:rsidR="00547455" w14:paraId="7027A362" w14:textId="77777777" w:rsidTr="0030759D">
        <w:tc>
          <w:tcPr>
            <w:tcW w:w="381" w:type="pct"/>
          </w:tcPr>
          <w:p w14:paraId="54807560" w14:textId="26BA6CF1" w:rsidR="00547455" w:rsidRPr="005E194B" w:rsidRDefault="00547455" w:rsidP="00547455">
            <w:pPr>
              <w:spacing w:after="120" w:line="276" w:lineRule="auto"/>
              <w:rPr>
                <w:sz w:val="22"/>
                <w:szCs w:val="22"/>
              </w:rPr>
            </w:pPr>
            <w:r w:rsidRPr="005E194B">
              <w:rPr>
                <w:sz w:val="22"/>
                <w:szCs w:val="22"/>
              </w:rPr>
              <w:t>2</w:t>
            </w:r>
            <w:r w:rsidR="00A54186">
              <w:rPr>
                <w:sz w:val="22"/>
                <w:szCs w:val="22"/>
              </w:rPr>
              <w:t>1</w:t>
            </w:r>
          </w:p>
        </w:tc>
        <w:tc>
          <w:tcPr>
            <w:tcW w:w="1190" w:type="pct"/>
          </w:tcPr>
          <w:p w14:paraId="5F23BF96" w14:textId="20B8141D" w:rsidR="00547455" w:rsidRPr="005E194B" w:rsidRDefault="00A54186" w:rsidP="00547455">
            <w:pPr>
              <w:spacing w:after="120" w:line="276" w:lineRule="auto"/>
              <w:rPr>
                <w:sz w:val="22"/>
                <w:szCs w:val="22"/>
              </w:rPr>
            </w:pPr>
            <w:r>
              <w:rPr>
                <w:sz w:val="22"/>
                <w:szCs w:val="22"/>
              </w:rPr>
              <w:t xml:space="preserve">Behaviour </w:t>
            </w:r>
            <w:proofErr w:type="gramStart"/>
            <w:r>
              <w:rPr>
                <w:sz w:val="22"/>
                <w:szCs w:val="22"/>
              </w:rPr>
              <w:t>change</w:t>
            </w:r>
            <w:proofErr w:type="gramEnd"/>
            <w:r>
              <w:rPr>
                <w:sz w:val="22"/>
                <w:szCs w:val="22"/>
              </w:rPr>
              <w:t xml:space="preserve"> and RCCE resources</w:t>
            </w:r>
          </w:p>
          <w:p w14:paraId="7979C3EA" w14:textId="77777777" w:rsidR="00547455" w:rsidRPr="005E194B" w:rsidRDefault="00547455" w:rsidP="00547455">
            <w:pPr>
              <w:spacing w:after="120" w:line="276" w:lineRule="auto"/>
              <w:rPr>
                <w:sz w:val="22"/>
                <w:szCs w:val="22"/>
              </w:rPr>
            </w:pPr>
          </w:p>
        </w:tc>
        <w:tc>
          <w:tcPr>
            <w:tcW w:w="3429" w:type="pct"/>
          </w:tcPr>
          <w:p w14:paraId="08B057DE" w14:textId="19C27112" w:rsidR="00547455" w:rsidRPr="00A54186" w:rsidRDefault="00A54186" w:rsidP="00A54186">
            <w:pPr>
              <w:spacing w:after="120" w:line="276" w:lineRule="auto"/>
              <w:rPr>
                <w:color w:val="000000"/>
                <w:sz w:val="22"/>
                <w:szCs w:val="22"/>
              </w:rPr>
            </w:pPr>
            <w:r w:rsidRPr="00A54186">
              <w:rPr>
                <w:color w:val="000000"/>
                <w:sz w:val="22"/>
                <w:szCs w:val="22"/>
              </w:rPr>
              <w:t>Provides an overview and links to behaviour change and RCCE resources produced across the Movement for programmes and responses to epidemics such as Ebola, COVID-19 and Zika. This</w:t>
            </w:r>
            <w:r>
              <w:rPr>
                <w:color w:val="000000"/>
                <w:sz w:val="22"/>
                <w:szCs w:val="22"/>
              </w:rPr>
              <w:t xml:space="preserve"> </w:t>
            </w:r>
            <w:r w:rsidRPr="00A54186">
              <w:rPr>
                <w:color w:val="000000"/>
                <w:sz w:val="22"/>
                <w:szCs w:val="22"/>
              </w:rPr>
              <w:t xml:space="preserve">includes behaviour change programme guides, example behaviour change and RCCE plans, training packages, guidance on using tools like radio and mobile cinema, feedback and perception survey guides and templates, and guidance notes on issues such as tackling mistrust or vaccine hesitancy.  </w:t>
            </w:r>
          </w:p>
        </w:tc>
      </w:tr>
      <w:tr w:rsidR="00547455" w14:paraId="6DBDFD45" w14:textId="77777777" w:rsidTr="0030759D">
        <w:tc>
          <w:tcPr>
            <w:tcW w:w="381" w:type="pct"/>
          </w:tcPr>
          <w:p w14:paraId="3BB3C83C" w14:textId="7B46D547" w:rsidR="00547455" w:rsidRPr="005E194B" w:rsidRDefault="00547455" w:rsidP="00547455">
            <w:pPr>
              <w:spacing w:after="120" w:line="276" w:lineRule="auto"/>
              <w:rPr>
                <w:sz w:val="22"/>
                <w:szCs w:val="22"/>
              </w:rPr>
            </w:pPr>
            <w:r w:rsidRPr="005E194B">
              <w:rPr>
                <w:sz w:val="22"/>
                <w:szCs w:val="22"/>
              </w:rPr>
              <w:t>2</w:t>
            </w:r>
            <w:r w:rsidR="00A54186">
              <w:rPr>
                <w:sz w:val="22"/>
                <w:szCs w:val="22"/>
              </w:rPr>
              <w:t>2</w:t>
            </w:r>
          </w:p>
        </w:tc>
        <w:tc>
          <w:tcPr>
            <w:tcW w:w="1190" w:type="pct"/>
          </w:tcPr>
          <w:p w14:paraId="7B157358" w14:textId="386D37D8" w:rsidR="00547455" w:rsidRPr="005E194B" w:rsidRDefault="00A54186" w:rsidP="00547455">
            <w:pPr>
              <w:spacing w:after="120" w:line="276" w:lineRule="auto"/>
              <w:rPr>
                <w:sz w:val="22"/>
                <w:szCs w:val="22"/>
              </w:rPr>
            </w:pPr>
            <w:r>
              <w:rPr>
                <w:sz w:val="22"/>
                <w:szCs w:val="22"/>
              </w:rPr>
              <w:t>Developing a CEA emergency plan</w:t>
            </w:r>
          </w:p>
        </w:tc>
        <w:tc>
          <w:tcPr>
            <w:tcW w:w="3429" w:type="pct"/>
          </w:tcPr>
          <w:p w14:paraId="2F8072B9" w14:textId="3CE8C877" w:rsidR="00A936CC" w:rsidRPr="00A936CC" w:rsidRDefault="00A936CC" w:rsidP="00F83C95">
            <w:pPr>
              <w:spacing w:after="120" w:line="276" w:lineRule="auto"/>
              <w:rPr>
                <w:color w:val="000000"/>
                <w:sz w:val="22"/>
                <w:szCs w:val="22"/>
              </w:rPr>
            </w:pPr>
            <w:r>
              <w:rPr>
                <w:color w:val="000000"/>
                <w:sz w:val="22"/>
                <w:szCs w:val="22"/>
              </w:rPr>
              <w:t>Guidance and a template to prepare a CEA strategy and workplan for emergency response operations</w:t>
            </w:r>
            <w:r w:rsidR="00F83C95">
              <w:rPr>
                <w:color w:val="000000"/>
                <w:sz w:val="22"/>
                <w:szCs w:val="22"/>
              </w:rPr>
              <w:t xml:space="preserve">. Data from this plan can feed into the overall emergency plan of action for the response. </w:t>
            </w:r>
          </w:p>
        </w:tc>
      </w:tr>
      <w:tr w:rsidR="00A54186" w14:paraId="48C1D2C8" w14:textId="77777777" w:rsidTr="0030759D">
        <w:tc>
          <w:tcPr>
            <w:tcW w:w="381" w:type="pct"/>
          </w:tcPr>
          <w:p w14:paraId="2F944C6C" w14:textId="0033D0DE" w:rsidR="00A54186" w:rsidRPr="005E194B" w:rsidRDefault="00A54186" w:rsidP="00547455">
            <w:pPr>
              <w:spacing w:after="120" w:line="276" w:lineRule="auto"/>
              <w:rPr>
                <w:sz w:val="22"/>
                <w:szCs w:val="22"/>
              </w:rPr>
            </w:pPr>
            <w:r>
              <w:rPr>
                <w:sz w:val="22"/>
                <w:szCs w:val="22"/>
              </w:rPr>
              <w:t>23</w:t>
            </w:r>
          </w:p>
        </w:tc>
        <w:tc>
          <w:tcPr>
            <w:tcW w:w="1190" w:type="pct"/>
          </w:tcPr>
          <w:p w14:paraId="67448D18" w14:textId="59942D5B" w:rsidR="00A54186" w:rsidRDefault="00A54186" w:rsidP="00547455">
            <w:pPr>
              <w:spacing w:after="120" w:line="276" w:lineRule="auto"/>
              <w:rPr>
                <w:sz w:val="22"/>
                <w:szCs w:val="22"/>
              </w:rPr>
            </w:pPr>
            <w:r>
              <w:rPr>
                <w:sz w:val="22"/>
                <w:szCs w:val="22"/>
              </w:rPr>
              <w:t>SOP for CEA in emergencies</w:t>
            </w:r>
          </w:p>
        </w:tc>
        <w:tc>
          <w:tcPr>
            <w:tcW w:w="3429" w:type="pct"/>
          </w:tcPr>
          <w:p w14:paraId="4BE5C4F5" w14:textId="431A049B" w:rsidR="00A54186" w:rsidRPr="005E194B" w:rsidRDefault="00EA0FF7" w:rsidP="00F83C95">
            <w:pPr>
              <w:spacing w:after="120" w:line="276" w:lineRule="auto"/>
              <w:rPr>
                <w:sz w:val="22"/>
                <w:szCs w:val="22"/>
              </w:rPr>
            </w:pPr>
            <w:r>
              <w:rPr>
                <w:sz w:val="22"/>
                <w:szCs w:val="22"/>
              </w:rPr>
              <w:t>Overview of the main tasks and responsibilities of CE</w:t>
            </w:r>
            <w:r w:rsidR="00FC7DF6">
              <w:rPr>
                <w:sz w:val="22"/>
                <w:szCs w:val="22"/>
              </w:rPr>
              <w:t>A</w:t>
            </w:r>
            <w:r>
              <w:rPr>
                <w:sz w:val="22"/>
                <w:szCs w:val="22"/>
              </w:rPr>
              <w:t xml:space="preserve"> staff and delegates </w:t>
            </w:r>
            <w:r w:rsidR="002F54FF">
              <w:rPr>
                <w:sz w:val="22"/>
                <w:szCs w:val="22"/>
              </w:rPr>
              <w:t>working in</w:t>
            </w:r>
            <w:r>
              <w:rPr>
                <w:sz w:val="22"/>
                <w:szCs w:val="22"/>
              </w:rPr>
              <w:t xml:space="preserve"> emergency operations</w:t>
            </w:r>
            <w:r w:rsidR="006D4604">
              <w:rPr>
                <w:sz w:val="22"/>
                <w:szCs w:val="22"/>
              </w:rPr>
              <w:t xml:space="preserve">, including </w:t>
            </w:r>
            <w:r w:rsidR="00D32A9D">
              <w:rPr>
                <w:sz w:val="22"/>
                <w:szCs w:val="22"/>
              </w:rPr>
              <w:t>timeframe</w:t>
            </w:r>
            <w:r w:rsidR="00FF3D3A">
              <w:rPr>
                <w:sz w:val="22"/>
                <w:szCs w:val="22"/>
              </w:rPr>
              <w:t>s</w:t>
            </w:r>
            <w:r w:rsidR="00D32A9D">
              <w:rPr>
                <w:sz w:val="22"/>
                <w:szCs w:val="22"/>
              </w:rPr>
              <w:t xml:space="preserve"> </w:t>
            </w:r>
            <w:r w:rsidR="00FF3D3A">
              <w:rPr>
                <w:sz w:val="22"/>
                <w:szCs w:val="22"/>
              </w:rPr>
              <w:t xml:space="preserve">for </w:t>
            </w:r>
            <w:r w:rsidR="00D32A9D">
              <w:rPr>
                <w:sz w:val="22"/>
                <w:szCs w:val="22"/>
              </w:rPr>
              <w:t>actions and who is responsible</w:t>
            </w:r>
            <w:r w:rsidR="00FF3D3A">
              <w:rPr>
                <w:sz w:val="22"/>
                <w:szCs w:val="22"/>
              </w:rPr>
              <w:t>.</w:t>
            </w:r>
          </w:p>
        </w:tc>
      </w:tr>
      <w:tr w:rsidR="00A54186" w14:paraId="2AF79ED3" w14:textId="77777777" w:rsidTr="0030759D">
        <w:tc>
          <w:tcPr>
            <w:tcW w:w="381" w:type="pct"/>
          </w:tcPr>
          <w:p w14:paraId="149565AE" w14:textId="33C5FC30" w:rsidR="00A54186" w:rsidRPr="005E194B" w:rsidRDefault="00A54186" w:rsidP="00547455">
            <w:pPr>
              <w:spacing w:after="120" w:line="276" w:lineRule="auto"/>
              <w:rPr>
                <w:sz w:val="22"/>
                <w:szCs w:val="22"/>
              </w:rPr>
            </w:pPr>
            <w:r>
              <w:rPr>
                <w:sz w:val="22"/>
                <w:szCs w:val="22"/>
              </w:rPr>
              <w:t>24</w:t>
            </w:r>
          </w:p>
        </w:tc>
        <w:tc>
          <w:tcPr>
            <w:tcW w:w="1190" w:type="pct"/>
          </w:tcPr>
          <w:p w14:paraId="426A6D92" w14:textId="545A0283" w:rsidR="00A54186" w:rsidRDefault="00A54186" w:rsidP="00547455">
            <w:pPr>
              <w:spacing w:after="120" w:line="276" w:lineRule="auto"/>
              <w:rPr>
                <w:sz w:val="22"/>
                <w:szCs w:val="22"/>
              </w:rPr>
            </w:pPr>
            <w:r>
              <w:rPr>
                <w:sz w:val="22"/>
                <w:szCs w:val="22"/>
              </w:rPr>
              <w:t>CEA checklists for sectors and roles (in emergency response)</w:t>
            </w:r>
          </w:p>
        </w:tc>
        <w:tc>
          <w:tcPr>
            <w:tcW w:w="3429" w:type="pct"/>
          </w:tcPr>
          <w:p w14:paraId="07FA5E12" w14:textId="778EB17F" w:rsidR="00A54186" w:rsidRPr="005E194B" w:rsidRDefault="00A57B96" w:rsidP="00F83C95">
            <w:pPr>
              <w:spacing w:after="120" w:line="276" w:lineRule="auto"/>
              <w:rPr>
                <w:sz w:val="22"/>
                <w:szCs w:val="22"/>
              </w:rPr>
            </w:pPr>
            <w:r>
              <w:rPr>
                <w:sz w:val="22"/>
                <w:szCs w:val="22"/>
              </w:rPr>
              <w:t>Guidance on the p</w:t>
            </w:r>
            <w:r w:rsidR="00AF6113">
              <w:rPr>
                <w:sz w:val="22"/>
                <w:szCs w:val="22"/>
              </w:rPr>
              <w:t xml:space="preserve">ractical actions that staff </w:t>
            </w:r>
            <w:r w:rsidR="00FF3D3A">
              <w:rPr>
                <w:sz w:val="22"/>
                <w:szCs w:val="22"/>
              </w:rPr>
              <w:t>from different</w:t>
            </w:r>
            <w:r w:rsidR="00DA5AAD">
              <w:rPr>
                <w:sz w:val="22"/>
                <w:szCs w:val="22"/>
              </w:rPr>
              <w:t xml:space="preserve"> sectors</w:t>
            </w:r>
            <w:r w:rsidR="002F54FF">
              <w:rPr>
                <w:sz w:val="22"/>
                <w:szCs w:val="22"/>
              </w:rPr>
              <w:t xml:space="preserve"> </w:t>
            </w:r>
            <w:r>
              <w:rPr>
                <w:sz w:val="22"/>
                <w:szCs w:val="22"/>
              </w:rPr>
              <w:t xml:space="preserve">should take to ensure a good level of engagement </w:t>
            </w:r>
            <w:r w:rsidR="008B39A1">
              <w:rPr>
                <w:sz w:val="22"/>
                <w:szCs w:val="22"/>
              </w:rPr>
              <w:t>throughout different stages of an emergency response.</w:t>
            </w:r>
            <w:r>
              <w:rPr>
                <w:sz w:val="22"/>
                <w:szCs w:val="22"/>
              </w:rPr>
              <w:t xml:space="preserve"> </w:t>
            </w:r>
            <w:r w:rsidR="008B39A1">
              <w:rPr>
                <w:sz w:val="22"/>
                <w:szCs w:val="22"/>
              </w:rPr>
              <w:t xml:space="preserve">These </w:t>
            </w:r>
            <w:r w:rsidR="00FF3D3A">
              <w:rPr>
                <w:sz w:val="22"/>
                <w:szCs w:val="22"/>
              </w:rPr>
              <w:t>checklists</w:t>
            </w:r>
            <w:r w:rsidR="008B39A1">
              <w:rPr>
                <w:sz w:val="22"/>
                <w:szCs w:val="22"/>
              </w:rPr>
              <w:t xml:space="preserve"> help </w:t>
            </w:r>
            <w:r w:rsidR="00FF3D3A">
              <w:rPr>
                <w:sz w:val="22"/>
                <w:szCs w:val="22"/>
              </w:rPr>
              <w:t xml:space="preserve">to </w:t>
            </w:r>
            <w:r w:rsidR="008B39A1">
              <w:rPr>
                <w:sz w:val="22"/>
                <w:szCs w:val="22"/>
              </w:rPr>
              <w:t>identify any gaps or areas where community engagement could be strengthened.</w:t>
            </w:r>
          </w:p>
        </w:tc>
      </w:tr>
      <w:tr w:rsidR="00A54186" w14:paraId="061EC1A4" w14:textId="77777777" w:rsidTr="0030759D">
        <w:tc>
          <w:tcPr>
            <w:tcW w:w="381" w:type="pct"/>
          </w:tcPr>
          <w:p w14:paraId="2FF663A8" w14:textId="737158B8" w:rsidR="00A54186" w:rsidRPr="005E194B" w:rsidRDefault="00A54186" w:rsidP="00547455">
            <w:pPr>
              <w:spacing w:after="120" w:line="276" w:lineRule="auto"/>
              <w:rPr>
                <w:sz w:val="22"/>
                <w:szCs w:val="22"/>
              </w:rPr>
            </w:pPr>
            <w:r>
              <w:rPr>
                <w:sz w:val="22"/>
                <w:szCs w:val="22"/>
              </w:rPr>
              <w:t>25</w:t>
            </w:r>
          </w:p>
        </w:tc>
        <w:tc>
          <w:tcPr>
            <w:tcW w:w="1190" w:type="pct"/>
          </w:tcPr>
          <w:p w14:paraId="1A59FE19" w14:textId="768BC7CB" w:rsidR="00A54186" w:rsidRDefault="00A54186" w:rsidP="00547455">
            <w:pPr>
              <w:spacing w:after="120" w:line="276" w:lineRule="auto"/>
              <w:rPr>
                <w:sz w:val="22"/>
                <w:szCs w:val="22"/>
              </w:rPr>
            </w:pPr>
            <w:r>
              <w:rPr>
                <w:sz w:val="22"/>
                <w:szCs w:val="22"/>
              </w:rPr>
              <w:t>CEA in emergencies briefing for staff</w:t>
            </w:r>
          </w:p>
        </w:tc>
        <w:tc>
          <w:tcPr>
            <w:tcW w:w="3429" w:type="pct"/>
          </w:tcPr>
          <w:p w14:paraId="0975C54D" w14:textId="579B7188" w:rsidR="00A54186" w:rsidRPr="005E194B" w:rsidRDefault="00F83F7A" w:rsidP="00F83C95">
            <w:pPr>
              <w:spacing w:after="120" w:line="276" w:lineRule="auto"/>
              <w:rPr>
                <w:sz w:val="22"/>
                <w:szCs w:val="22"/>
              </w:rPr>
            </w:pPr>
            <w:r w:rsidRPr="00F83F7A">
              <w:rPr>
                <w:sz w:val="22"/>
                <w:szCs w:val="22"/>
              </w:rPr>
              <w:t xml:space="preserve">A briefing </w:t>
            </w:r>
            <w:r w:rsidR="00FF3D3A">
              <w:rPr>
                <w:sz w:val="22"/>
                <w:szCs w:val="22"/>
              </w:rPr>
              <w:t xml:space="preserve">on CEA for staff joining an emergency response operation, including </w:t>
            </w:r>
            <w:r w:rsidR="00982854">
              <w:rPr>
                <w:sz w:val="22"/>
                <w:szCs w:val="22"/>
              </w:rPr>
              <w:t>why we need to engage with communities during an emergency, and the roles and responsibilities of all staff in strengthening CEA during a response</w:t>
            </w:r>
            <w:r w:rsidR="00FF3D3A">
              <w:rPr>
                <w:sz w:val="22"/>
                <w:szCs w:val="22"/>
              </w:rPr>
              <w:t xml:space="preserve">. </w:t>
            </w:r>
          </w:p>
        </w:tc>
      </w:tr>
    </w:tbl>
    <w:p w14:paraId="2CAA26A5" w14:textId="77777777" w:rsidR="00473DC6" w:rsidRDefault="00473DC6"/>
    <w:p w14:paraId="7E15F449" w14:textId="6F86EEF6" w:rsidR="00473DC6" w:rsidRDefault="00473DC6">
      <w:pPr>
        <w:ind w:left="720"/>
        <w:rPr>
          <w:b/>
        </w:rPr>
      </w:pPr>
    </w:p>
    <w:p w14:paraId="4812D414" w14:textId="77777777" w:rsidR="00A57B96" w:rsidRDefault="00A57B96" w:rsidP="00280A66">
      <w:pPr>
        <w:rPr>
          <w:b/>
        </w:rPr>
      </w:pPr>
    </w:p>
    <w:sectPr w:rsidR="00A57B96" w:rsidSect="00CE2067">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DDC2" w14:textId="77777777" w:rsidR="00AC11F8" w:rsidRDefault="00AC11F8" w:rsidP="00982854">
      <w:r>
        <w:separator/>
      </w:r>
    </w:p>
  </w:endnote>
  <w:endnote w:type="continuationSeparator" w:id="0">
    <w:p w14:paraId="54F031E7" w14:textId="77777777" w:rsidR="00AC11F8" w:rsidRDefault="00AC11F8" w:rsidP="0098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C906" w14:textId="77777777" w:rsidR="00982854" w:rsidRDefault="00982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7897" w14:textId="1EC9BCE7" w:rsidR="00982854" w:rsidRDefault="00982854">
    <w:pPr>
      <w:pStyle w:val="Footer"/>
    </w:pPr>
    <w:r>
      <w:rPr>
        <w:noProof/>
      </w:rPr>
      <mc:AlternateContent>
        <mc:Choice Requires="wps">
          <w:drawing>
            <wp:anchor distT="0" distB="0" distL="114300" distR="114300" simplePos="0" relativeHeight="251659264" behindDoc="0" locked="0" layoutInCell="0" allowOverlap="1" wp14:anchorId="3C60BB11" wp14:editId="7F5BF26E">
              <wp:simplePos x="0" y="0"/>
              <wp:positionH relativeFrom="page">
                <wp:posOffset>0</wp:posOffset>
              </wp:positionH>
              <wp:positionV relativeFrom="page">
                <wp:posOffset>10229215</wp:posOffset>
              </wp:positionV>
              <wp:extent cx="7556500" cy="273050"/>
              <wp:effectExtent l="0" t="0" r="0" b="12700"/>
              <wp:wrapNone/>
              <wp:docPr id="1" name="MSIPCM2069475c92d5e6c16dc72537" descr="{&quot;HashCode&quot;:-454365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59746" w14:textId="30408B97" w:rsidR="00982854" w:rsidRPr="00982854" w:rsidRDefault="00982854" w:rsidP="00982854">
                          <w:pPr>
                            <w:rPr>
                              <w:color w:val="000000"/>
                              <w:sz w:val="20"/>
                            </w:rPr>
                          </w:pPr>
                          <w:r w:rsidRPr="00982854">
                            <w:rPr>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60BB11" id="_x0000_t202" coordsize="21600,21600" o:spt="202" path="m,l,21600r21600,l21600,xe">
              <v:stroke joinstyle="miter"/>
              <v:path gradientshapeok="t" o:connecttype="rect"/>
            </v:shapetype>
            <v:shape id="MSIPCM2069475c92d5e6c16dc72537" o:spid="_x0000_s1026" type="#_x0000_t202" alt="{&quot;HashCode&quot;:-45436510,&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" o:allowincell="f" filled="f" stroked="f" strokeweight=".5pt">
              <v:fill o:detectmouseclick="t"/>
              <v:textbox inset="20pt,0,,0">
                <w:txbxContent>
                  <w:p w14:paraId="62759746" w14:textId="30408B97" w:rsidR="00982854" w:rsidRPr="00982854" w:rsidRDefault="00982854" w:rsidP="00982854">
                    <w:pPr>
                      <w:rPr>
                        <w:color w:val="000000"/>
                        <w:sz w:val="20"/>
                      </w:rPr>
                    </w:pPr>
                    <w:r w:rsidRPr="00982854">
                      <w:rPr>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B453" w14:textId="77777777" w:rsidR="00982854" w:rsidRDefault="0098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FE2D" w14:textId="77777777" w:rsidR="00AC11F8" w:rsidRDefault="00AC11F8" w:rsidP="00982854">
      <w:r>
        <w:separator/>
      </w:r>
    </w:p>
  </w:footnote>
  <w:footnote w:type="continuationSeparator" w:id="0">
    <w:p w14:paraId="64C96B1B" w14:textId="77777777" w:rsidR="00AC11F8" w:rsidRDefault="00AC11F8" w:rsidP="00982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D284" w14:textId="77777777" w:rsidR="00982854" w:rsidRDefault="00982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2631" w14:textId="77777777" w:rsidR="00982854" w:rsidRDefault="00982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E66" w14:textId="77777777" w:rsidR="00982854" w:rsidRDefault="00982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922"/>
    <w:multiLevelType w:val="multilevel"/>
    <w:tmpl w:val="C3FC4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4D5967"/>
    <w:multiLevelType w:val="multilevel"/>
    <w:tmpl w:val="F8F6A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8A3CFB"/>
    <w:multiLevelType w:val="multilevel"/>
    <w:tmpl w:val="423C66E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D636A14"/>
    <w:multiLevelType w:val="hybridMultilevel"/>
    <w:tmpl w:val="834C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D34ED"/>
    <w:multiLevelType w:val="hybridMultilevel"/>
    <w:tmpl w:val="6CD48756"/>
    <w:lvl w:ilvl="0" w:tplc="5AAAC170">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7A00C25"/>
    <w:multiLevelType w:val="multilevel"/>
    <w:tmpl w:val="3522A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8B0A53"/>
    <w:multiLevelType w:val="multilevel"/>
    <w:tmpl w:val="A1720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2316C2"/>
    <w:multiLevelType w:val="multilevel"/>
    <w:tmpl w:val="AECAF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4477B1"/>
    <w:multiLevelType w:val="multilevel"/>
    <w:tmpl w:val="2ACEA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B96DFC"/>
    <w:multiLevelType w:val="multilevel"/>
    <w:tmpl w:val="5956C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3BC4014"/>
    <w:multiLevelType w:val="multilevel"/>
    <w:tmpl w:val="1A3244B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97A0748"/>
    <w:multiLevelType w:val="multilevel"/>
    <w:tmpl w:val="F7041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74087B"/>
    <w:multiLevelType w:val="multilevel"/>
    <w:tmpl w:val="26ACF29A"/>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1"/>
  </w:num>
  <w:num w:numId="3">
    <w:abstractNumId w:val="6"/>
  </w:num>
  <w:num w:numId="4">
    <w:abstractNumId w:val="10"/>
  </w:num>
  <w:num w:numId="5">
    <w:abstractNumId w:val="5"/>
  </w:num>
  <w:num w:numId="6">
    <w:abstractNumId w:val="12"/>
  </w:num>
  <w:num w:numId="7">
    <w:abstractNumId w:val="8"/>
  </w:num>
  <w:num w:numId="8">
    <w:abstractNumId w:val="9"/>
  </w:num>
  <w:num w:numId="9">
    <w:abstractNumId w:val="2"/>
  </w:num>
  <w:num w:numId="10">
    <w:abstractNumId w:val="1"/>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C6"/>
    <w:rsid w:val="000E7A41"/>
    <w:rsid w:val="00280A66"/>
    <w:rsid w:val="002C0B55"/>
    <w:rsid w:val="002F54FF"/>
    <w:rsid w:val="0030759D"/>
    <w:rsid w:val="00415F9C"/>
    <w:rsid w:val="00473DC6"/>
    <w:rsid w:val="00520B54"/>
    <w:rsid w:val="00542AC3"/>
    <w:rsid w:val="00547455"/>
    <w:rsid w:val="005B50B5"/>
    <w:rsid w:val="005E194B"/>
    <w:rsid w:val="006453D1"/>
    <w:rsid w:val="006D4604"/>
    <w:rsid w:val="00703681"/>
    <w:rsid w:val="008B39A1"/>
    <w:rsid w:val="008E5895"/>
    <w:rsid w:val="00982854"/>
    <w:rsid w:val="00A54186"/>
    <w:rsid w:val="00A57B96"/>
    <w:rsid w:val="00A936CC"/>
    <w:rsid w:val="00AC11F8"/>
    <w:rsid w:val="00AF6113"/>
    <w:rsid w:val="00C7608F"/>
    <w:rsid w:val="00CE2067"/>
    <w:rsid w:val="00D32A9D"/>
    <w:rsid w:val="00DA5AAD"/>
    <w:rsid w:val="00EA0FF7"/>
    <w:rsid w:val="00F24515"/>
    <w:rsid w:val="00F83C95"/>
    <w:rsid w:val="00F83F7A"/>
    <w:rsid w:val="00FC7DF6"/>
    <w:rsid w:val="00FF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BB679"/>
  <w15:docId w15:val="{D8A7AE9B-5206-F94C-AD38-63625FED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Bullet List,FooterText,List Paragraph1,Colorful List Accent 1"/>
    <w:basedOn w:val="Normal"/>
    <w:link w:val="ListParagraphChar"/>
    <w:uiPriority w:val="34"/>
    <w:qFormat/>
    <w:rsid w:val="005E194B"/>
    <w:pPr>
      <w:numPr>
        <w:numId w:val="11"/>
      </w:numPr>
      <w:spacing w:after="160" w:line="259" w:lineRule="auto"/>
      <w:contextualSpacing/>
    </w:pPr>
    <w:rPr>
      <w:rFonts w:ascii="Roboto" w:hAnsi="Roboto" w:cs="Arial"/>
      <w:sz w:val="22"/>
      <w:szCs w:val="22"/>
      <w:lang w:eastAsia="en-US"/>
    </w:rPr>
  </w:style>
  <w:style w:type="character" w:customStyle="1" w:styleId="ListParagraphChar">
    <w:name w:val="List Paragraph Char"/>
    <w:aliases w:val="Bullet List Char,FooterText Char,List Paragraph1 Char,Colorful List Accent 1 Char"/>
    <w:link w:val="ListParagraph"/>
    <w:uiPriority w:val="34"/>
    <w:locked/>
    <w:rsid w:val="005E194B"/>
    <w:rPr>
      <w:rFonts w:ascii="Roboto" w:hAnsi="Roboto" w:cs="Arial"/>
      <w:sz w:val="22"/>
      <w:szCs w:val="22"/>
      <w:lang w:eastAsia="en-US"/>
    </w:rPr>
  </w:style>
  <w:style w:type="character" w:styleId="Hyperlink">
    <w:name w:val="Hyperlink"/>
    <w:rsid w:val="006453D1"/>
    <w:rPr>
      <w:color w:val="0000FF"/>
      <w:u w:val="single"/>
    </w:rPr>
  </w:style>
  <w:style w:type="paragraph" w:styleId="Header">
    <w:name w:val="header"/>
    <w:basedOn w:val="Normal"/>
    <w:link w:val="HeaderChar"/>
    <w:uiPriority w:val="99"/>
    <w:unhideWhenUsed/>
    <w:rsid w:val="00982854"/>
    <w:pPr>
      <w:tabs>
        <w:tab w:val="center" w:pos="4513"/>
        <w:tab w:val="right" w:pos="9026"/>
      </w:tabs>
    </w:pPr>
  </w:style>
  <w:style w:type="character" w:customStyle="1" w:styleId="HeaderChar">
    <w:name w:val="Header Char"/>
    <w:basedOn w:val="DefaultParagraphFont"/>
    <w:link w:val="Header"/>
    <w:uiPriority w:val="99"/>
    <w:rsid w:val="00982854"/>
  </w:style>
  <w:style w:type="paragraph" w:styleId="Footer">
    <w:name w:val="footer"/>
    <w:basedOn w:val="Normal"/>
    <w:link w:val="FooterChar"/>
    <w:uiPriority w:val="99"/>
    <w:unhideWhenUsed/>
    <w:rsid w:val="00982854"/>
    <w:pPr>
      <w:tabs>
        <w:tab w:val="center" w:pos="4513"/>
        <w:tab w:val="right" w:pos="9026"/>
      </w:tabs>
    </w:pPr>
  </w:style>
  <w:style w:type="character" w:customStyle="1" w:styleId="FooterChar">
    <w:name w:val="Footer Char"/>
    <w:basedOn w:val="DefaultParagraphFont"/>
    <w:link w:val="Footer"/>
    <w:uiPriority w:val="99"/>
    <w:rsid w:val="0098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Jantina GANTER RESTREPO</dc:creator>
  <cp:lastModifiedBy>Sharon Reader</cp:lastModifiedBy>
  <cp:revision>4</cp:revision>
  <dcterms:created xsi:type="dcterms:W3CDTF">2021-09-15T19:40:00Z</dcterms:created>
  <dcterms:modified xsi:type="dcterms:W3CDTF">2021-09-15T19:55:00Z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2021-09-13T06:42:45Z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cdabf5c6-0d96-4630-95b4-c973dd089791</vt:lpwstr>
  </property>
  <property fmtid="{D5CDD505-2E9C-101B-9397-08002B2CF9AE}" pid="8" name="MSIP_Label_caf3f7fd-5cd4-4287-9002-aceb9af13c42_ContentBits">
    <vt:lpwstr>2</vt:lpwstr>
  </property>
</Properties>
</file>