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85910" w14:textId="59CF9ACA" w:rsidR="00D315DF" w:rsidRPr="005E6E3E" w:rsidRDefault="007A3184">
      <w:pPr>
        <w:rPr>
          <w:b/>
          <w:bCs/>
          <w:lang w:val="es-419"/>
        </w:rPr>
      </w:pPr>
      <w:r w:rsidRPr="005E6E3E">
        <w:rPr>
          <w:b/>
          <w:bCs/>
          <w:lang w:val="es-419"/>
        </w:rPr>
        <w:t>Capítulo 2: Herramientas de Planificación para Protección, Género e Inclusión en Emergencias</w:t>
      </w:r>
    </w:p>
    <w:p w14:paraId="25CD903C" w14:textId="68F06EFD" w:rsidR="00D70B1F" w:rsidRPr="005E6E3E" w:rsidRDefault="007A3184">
      <w:pPr>
        <w:rPr>
          <w:lang w:val="es-419"/>
        </w:rPr>
      </w:pPr>
      <w:r w:rsidRPr="005E6E3E">
        <w:rPr>
          <w:lang w:val="es-419"/>
        </w:rPr>
        <w:t>Las herramientas contenidas en esta sección brindan orientación sobre la fase de planificación para Protección, Género e Inclusión en Emergencias</w:t>
      </w:r>
      <w:r w:rsidR="00D70B1F" w:rsidRPr="005E6E3E">
        <w:rPr>
          <w:lang w:val="es-419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5DED" w:rsidRPr="00D66D4D" w14:paraId="57660AF8" w14:textId="77777777" w:rsidTr="00C85DED">
        <w:tc>
          <w:tcPr>
            <w:tcW w:w="9016" w:type="dxa"/>
          </w:tcPr>
          <w:p w14:paraId="0C5C2773" w14:textId="7D657296" w:rsidR="00C85DED" w:rsidRPr="005E6E3E" w:rsidRDefault="007A3184" w:rsidP="00D70B1F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>Las herramientas de planificación, en resumen</w:t>
            </w:r>
          </w:p>
          <w:p w14:paraId="46621EE6" w14:textId="77777777" w:rsidR="00C85DED" w:rsidRPr="005E6E3E" w:rsidRDefault="00C85DED" w:rsidP="00D70B1F">
            <w:pPr>
              <w:rPr>
                <w:lang w:val="es-419"/>
              </w:rPr>
            </w:pPr>
          </w:p>
          <w:p w14:paraId="3D483944" w14:textId="10FBB540" w:rsidR="00C85DED" w:rsidRPr="005E6E3E" w:rsidRDefault="0091571A" w:rsidP="00C85DED">
            <w:pPr>
              <w:rPr>
                <w:lang w:val="es-419"/>
              </w:rPr>
            </w:pPr>
            <w:r w:rsidRPr="005E6E3E">
              <w:rPr>
                <w:lang w:val="es-419"/>
              </w:rPr>
              <w:t>Estas herramientas deben usarse para</w:t>
            </w:r>
            <w:r w:rsidR="00C85DED" w:rsidRPr="005E6E3E">
              <w:rPr>
                <w:lang w:val="es-419"/>
              </w:rPr>
              <w:t>:</w:t>
            </w:r>
          </w:p>
          <w:p w14:paraId="65BA5E7E" w14:textId="195091F3" w:rsidR="0091571A" w:rsidRPr="005E6E3E" w:rsidRDefault="0091571A" w:rsidP="0091571A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>Completar el Plan de Acción de Emergencia (</w:t>
            </w:r>
            <w:proofErr w:type="spellStart"/>
            <w:r w:rsidR="00831AA1">
              <w:rPr>
                <w:lang w:val="es-419"/>
              </w:rPr>
              <w:t>PdAE</w:t>
            </w:r>
            <w:proofErr w:type="spellEnd"/>
            <w:r w:rsidR="00831AA1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>), incluyendo la sección independiente de PGI y el presupuesto</w:t>
            </w:r>
          </w:p>
          <w:p w14:paraId="39C80342" w14:textId="5407F878" w:rsidR="0091571A" w:rsidRPr="005E6E3E" w:rsidRDefault="0091571A" w:rsidP="0091571A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 xml:space="preserve">Brindar retroalimentación constructiva sobre el </w:t>
            </w:r>
            <w:proofErr w:type="spellStart"/>
            <w:r w:rsidR="00831AA1">
              <w:rPr>
                <w:lang w:val="es-419"/>
              </w:rPr>
              <w:t>PdAE</w:t>
            </w:r>
            <w:proofErr w:type="spellEnd"/>
            <w:r w:rsidR="00831AA1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y medir para verificar si cumple con los criterios de PGI</w:t>
            </w:r>
          </w:p>
          <w:p w14:paraId="4931BBA4" w14:textId="61840E17" w:rsidR="0091571A" w:rsidRPr="005E6E3E" w:rsidRDefault="0091571A" w:rsidP="0091571A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 xml:space="preserve">Realizar </w:t>
            </w:r>
            <w:r w:rsidR="00320D0F">
              <w:rPr>
                <w:lang w:val="es-419"/>
              </w:rPr>
              <w:t xml:space="preserve">Evaluaciones y </w:t>
            </w:r>
            <w:r w:rsidRPr="005E6E3E">
              <w:rPr>
                <w:lang w:val="es-419"/>
              </w:rPr>
              <w:t>Análisis Rápidos de PGI para fundamentar la respuesta</w:t>
            </w:r>
          </w:p>
          <w:p w14:paraId="73683360" w14:textId="2ADEA6C3" w:rsidR="00C85DED" w:rsidRPr="005E6E3E" w:rsidRDefault="0091571A" w:rsidP="0091571A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>Establecer un</w:t>
            </w:r>
            <w:r w:rsidR="00320D0F">
              <w:rPr>
                <w:lang w:val="es-419"/>
              </w:rPr>
              <w:t>a norma</w:t>
            </w:r>
            <w:r w:rsidRPr="005E6E3E">
              <w:rPr>
                <w:lang w:val="es-419"/>
              </w:rPr>
              <w:t xml:space="preserve"> sobre cómo deben recopilarse los datos desagregados por sexo, edad y discapacidad a lo largo de la operación</w:t>
            </w:r>
          </w:p>
          <w:p w14:paraId="1AE9F850" w14:textId="35F42C4D" w:rsidR="0091571A" w:rsidRPr="005E6E3E" w:rsidRDefault="0091571A" w:rsidP="0091571A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>Diseñar evaluaciones (ya sea una evaluación independiente de PGI</w:t>
            </w:r>
            <w:r w:rsidR="000A3A06" w:rsidRPr="005E6E3E">
              <w:rPr>
                <w:lang w:val="es-419"/>
              </w:rPr>
              <w:t>,</w:t>
            </w:r>
            <w:r w:rsidRPr="005E6E3E">
              <w:rPr>
                <w:lang w:val="es-419"/>
              </w:rPr>
              <w:t xml:space="preserve"> o para seleccionar las preguntas a integrarse en las evaluaciones de necesidades sectoriales en colaboración con los líderes del sector)</w:t>
            </w:r>
          </w:p>
          <w:p w14:paraId="1CE7E011" w14:textId="77777777" w:rsidR="0091571A" w:rsidRPr="005E6E3E" w:rsidRDefault="0091571A" w:rsidP="0091571A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>Desarrollar presupuestos de PGI precisos</w:t>
            </w:r>
          </w:p>
          <w:p w14:paraId="5DFFA6B6" w14:textId="798D6F9B" w:rsidR="00C85DED" w:rsidRPr="005E6E3E" w:rsidRDefault="0091571A" w:rsidP="00D70B1F">
            <w:pPr>
              <w:pStyle w:val="Prrafodelista"/>
              <w:numPr>
                <w:ilvl w:val="0"/>
                <w:numId w:val="2"/>
              </w:numPr>
              <w:rPr>
                <w:lang w:val="es-419"/>
              </w:rPr>
            </w:pPr>
            <w:r w:rsidRPr="005E6E3E">
              <w:rPr>
                <w:lang w:val="es-419"/>
              </w:rPr>
              <w:t>Realizar discusiones de grupos focales con miembros de la comunidad como parte del proceso de planificación</w:t>
            </w:r>
          </w:p>
          <w:p w14:paraId="33AB8DA7" w14:textId="77777777" w:rsidR="00C85DED" w:rsidRPr="005E6E3E" w:rsidRDefault="00C85DED" w:rsidP="00C85DED">
            <w:pPr>
              <w:ind w:left="360"/>
              <w:rPr>
                <w:lang w:val="es-419"/>
              </w:rPr>
            </w:pPr>
          </w:p>
        </w:tc>
      </w:tr>
    </w:tbl>
    <w:p w14:paraId="00BFBAFE" w14:textId="77777777" w:rsidR="00C85DED" w:rsidRPr="005E6E3E" w:rsidRDefault="00C85DED" w:rsidP="00D70B1F">
      <w:pPr>
        <w:rPr>
          <w:lang w:val="es-419"/>
        </w:rPr>
      </w:pPr>
    </w:p>
    <w:p w14:paraId="56754F28" w14:textId="5CB3F6FE" w:rsidR="00D70B1F" w:rsidRPr="005E6E3E" w:rsidRDefault="000A3A06" w:rsidP="00D70B1F">
      <w:pPr>
        <w:rPr>
          <w:lang w:val="es-419"/>
        </w:rPr>
      </w:pPr>
      <w:r w:rsidRPr="005E6E3E">
        <w:rPr>
          <w:lang w:val="es-419"/>
        </w:rPr>
        <w:t>Las herramientas en esta sección son</w:t>
      </w:r>
      <w:r w:rsidR="00D70B1F" w:rsidRPr="005E6E3E">
        <w:rPr>
          <w:lang w:val="es-419"/>
        </w:rPr>
        <w:t>:</w:t>
      </w:r>
    </w:p>
    <w:tbl>
      <w:tblPr>
        <w:tblStyle w:val="Tablaconcuadrcula"/>
        <w:tblW w:w="9162" w:type="dxa"/>
        <w:tblLook w:val="04A0" w:firstRow="1" w:lastRow="0" w:firstColumn="1" w:lastColumn="0" w:noHBand="0" w:noVBand="1"/>
      </w:tblPr>
      <w:tblGrid>
        <w:gridCol w:w="2261"/>
        <w:gridCol w:w="2603"/>
        <w:gridCol w:w="2413"/>
        <w:gridCol w:w="1885"/>
      </w:tblGrid>
      <w:tr w:rsidR="006C224E" w:rsidRPr="005E6E3E" w14:paraId="247090FE" w14:textId="610E56F7" w:rsidTr="003906DD">
        <w:tc>
          <w:tcPr>
            <w:tcW w:w="2261" w:type="dxa"/>
          </w:tcPr>
          <w:p w14:paraId="6D6A83CD" w14:textId="3AB72F54" w:rsidR="006C224E" w:rsidRPr="005E6E3E" w:rsidRDefault="000A3A06" w:rsidP="00D70B1F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>Nombre de la herramienta</w:t>
            </w:r>
          </w:p>
        </w:tc>
        <w:tc>
          <w:tcPr>
            <w:tcW w:w="2603" w:type="dxa"/>
          </w:tcPr>
          <w:p w14:paraId="2A4F45B6" w14:textId="6FA506B1" w:rsidR="006C224E" w:rsidRPr="005E6E3E" w:rsidRDefault="006C224E" w:rsidP="00D70B1F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>P</w:t>
            </w:r>
            <w:r w:rsidR="000A3A06" w:rsidRPr="005E6E3E">
              <w:rPr>
                <w:b/>
                <w:bCs/>
                <w:lang w:val="es-419"/>
              </w:rPr>
              <w:t>ropósito</w:t>
            </w:r>
          </w:p>
        </w:tc>
        <w:tc>
          <w:tcPr>
            <w:tcW w:w="2413" w:type="dxa"/>
          </w:tcPr>
          <w:p w14:paraId="3E3222DF" w14:textId="5DED705C" w:rsidR="006C224E" w:rsidRPr="005E6E3E" w:rsidRDefault="000A3A06" w:rsidP="00D70B1F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>Prevista para ser usada por:</w:t>
            </w:r>
          </w:p>
        </w:tc>
        <w:tc>
          <w:tcPr>
            <w:tcW w:w="1885" w:type="dxa"/>
          </w:tcPr>
          <w:p w14:paraId="7E2B2049" w14:textId="7C72D0E2" w:rsidR="006C224E" w:rsidRPr="005E6E3E" w:rsidRDefault="000A3A06" w:rsidP="00D70B1F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>Fase de recuperación</w:t>
            </w:r>
          </w:p>
        </w:tc>
      </w:tr>
      <w:tr w:rsidR="00CE1CE4" w:rsidRPr="005E6E3E" w14:paraId="1E34116A" w14:textId="57829990" w:rsidTr="003906DD">
        <w:tc>
          <w:tcPr>
            <w:tcW w:w="2261" w:type="dxa"/>
          </w:tcPr>
          <w:p w14:paraId="0D771ACC" w14:textId="4758E356" w:rsidR="00CE1CE4" w:rsidRPr="005E6E3E" w:rsidRDefault="00CE1CE4" w:rsidP="00CE1CE4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 xml:space="preserve">Herramienta 2.1: Cómo integrar la PGI en un </w:t>
            </w:r>
            <w:proofErr w:type="spellStart"/>
            <w:r w:rsidR="00831AA1">
              <w:rPr>
                <w:b/>
                <w:bCs/>
                <w:lang w:val="es-419"/>
              </w:rPr>
              <w:t>PdAE</w:t>
            </w:r>
            <w:proofErr w:type="spellEnd"/>
            <w:r w:rsidR="00831AA1">
              <w:rPr>
                <w:b/>
                <w:bCs/>
                <w:lang w:val="es-419"/>
              </w:rPr>
              <w:t>/EPoA</w:t>
            </w:r>
          </w:p>
        </w:tc>
        <w:tc>
          <w:tcPr>
            <w:tcW w:w="2603" w:type="dxa"/>
          </w:tcPr>
          <w:p w14:paraId="2D4BB244" w14:textId="52323FB0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Esta herramienta brinda una guía integral para ayudarle a integrar el análisis de PGI en un plan de acción de emergencia. Contiene orientación para cada sección del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>.</w:t>
            </w:r>
          </w:p>
        </w:tc>
        <w:tc>
          <w:tcPr>
            <w:tcW w:w="2413" w:type="dxa"/>
          </w:tcPr>
          <w:p w14:paraId="4C02B059" w14:textId="6FB3FA7E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Un miembro del personal de PGI o un punto focal de PGI en el campo o a nivel de sede/regional. Idealmente, esta persona es responsable de integrar la PGI en el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general</w:t>
            </w:r>
          </w:p>
        </w:tc>
        <w:tc>
          <w:tcPr>
            <w:tcW w:w="1885" w:type="dxa"/>
          </w:tcPr>
          <w:p w14:paraId="484A0BB1" w14:textId="168C9D55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>Lista para usarse</w:t>
            </w:r>
          </w:p>
        </w:tc>
      </w:tr>
      <w:tr w:rsidR="00CE1CE4" w:rsidRPr="00D66D4D" w14:paraId="638E8AED" w14:textId="5BAF7218" w:rsidTr="003906DD">
        <w:tc>
          <w:tcPr>
            <w:tcW w:w="2261" w:type="dxa"/>
          </w:tcPr>
          <w:p w14:paraId="4E8CC322" w14:textId="4BF44538" w:rsidR="00CE1CE4" w:rsidRPr="005E6E3E" w:rsidRDefault="00CE1CE4" w:rsidP="00CE1CE4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 xml:space="preserve">Herramienta 2.2: La PGI en los </w:t>
            </w:r>
            <w:proofErr w:type="spellStart"/>
            <w:r w:rsidR="00D66D4D">
              <w:rPr>
                <w:b/>
                <w:bCs/>
                <w:lang w:val="es-419"/>
              </w:rPr>
              <w:t>PdAE</w:t>
            </w:r>
            <w:proofErr w:type="spellEnd"/>
            <w:r w:rsidR="00D66D4D">
              <w:rPr>
                <w:b/>
                <w:bCs/>
                <w:lang w:val="es-419"/>
              </w:rPr>
              <w:t>/EPoA</w:t>
            </w:r>
            <w:r w:rsidRPr="005E6E3E">
              <w:rPr>
                <w:b/>
                <w:bCs/>
                <w:lang w:val="es-419"/>
              </w:rPr>
              <w:t xml:space="preserve"> - lista de verificación y marcador</w:t>
            </w:r>
          </w:p>
        </w:tc>
        <w:tc>
          <w:tcPr>
            <w:tcW w:w="2603" w:type="dxa"/>
          </w:tcPr>
          <w:p w14:paraId="0926CEF7" w14:textId="64B633CB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Esta herramienta de lista de verificación ayuda a analizar si un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ha integrado con éxito las preocupaciones de PGI. Esta contiene el Anexo 1: Marcador de</w:t>
            </w:r>
            <w:r w:rsidR="00382DAC">
              <w:rPr>
                <w:lang w:val="es-419"/>
              </w:rPr>
              <w:t xml:space="preserve"> PGI de</w:t>
            </w:r>
            <w:r w:rsidRPr="005E6E3E">
              <w:rPr>
                <w:lang w:val="es-419"/>
              </w:rPr>
              <w:t xml:space="preserve"> 1 página del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, que puede utilizarse para realizar un seguimiento de si los borradores de los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mejoran la integración de PGI con el tiempo. Esta herramienta ayudará con el seguimiento y monitoreo de la integración de PGI en los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a lo largo del tiempo, y le brinda al usuario una plantilla para identificar áreas de mejora dentro del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y para brindar retroalimentación directa sobre cómo mejorar.</w:t>
            </w:r>
          </w:p>
        </w:tc>
        <w:tc>
          <w:tcPr>
            <w:tcW w:w="2413" w:type="dxa"/>
          </w:tcPr>
          <w:p w14:paraId="30DE8484" w14:textId="5128B5B9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>El personal de PMER, los puntos focales de GD, el personal regional de PGI y las Sociedades Nacionales hermanas interesadas en financiar/realizar un seguimiento de PGI</w:t>
            </w:r>
          </w:p>
        </w:tc>
        <w:tc>
          <w:tcPr>
            <w:tcW w:w="1885" w:type="dxa"/>
          </w:tcPr>
          <w:p w14:paraId="74B8F907" w14:textId="2CCD4151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>Fase de recuperación y continuidad desde la respuesta hasta la recuperación</w:t>
            </w:r>
          </w:p>
        </w:tc>
      </w:tr>
      <w:tr w:rsidR="00CE1CE4" w:rsidRPr="00D66D4D" w14:paraId="2BC749ED" w14:textId="77367A79" w:rsidTr="003906DD">
        <w:tc>
          <w:tcPr>
            <w:tcW w:w="2261" w:type="dxa"/>
          </w:tcPr>
          <w:p w14:paraId="6E74912B" w14:textId="66488D2C" w:rsidR="00CE1CE4" w:rsidRPr="005E6E3E" w:rsidRDefault="00CE1CE4" w:rsidP="00CE1CE4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 xml:space="preserve">Herramienta 2.3: Plantilla de </w:t>
            </w:r>
            <w:r w:rsidR="00382DAC" w:rsidRPr="005E6E3E">
              <w:rPr>
                <w:b/>
                <w:bCs/>
                <w:lang w:val="es-419"/>
              </w:rPr>
              <w:t>Presupuesto</w:t>
            </w:r>
            <w:r w:rsidRPr="005E6E3E">
              <w:rPr>
                <w:b/>
                <w:bCs/>
                <w:lang w:val="es-419"/>
              </w:rPr>
              <w:t xml:space="preserve"> de PGI en </w:t>
            </w:r>
            <w:r w:rsidR="00382DAC" w:rsidRPr="005E6E3E">
              <w:rPr>
                <w:b/>
                <w:bCs/>
                <w:lang w:val="es-419"/>
              </w:rPr>
              <w:t>Emergencias</w:t>
            </w:r>
          </w:p>
        </w:tc>
        <w:tc>
          <w:tcPr>
            <w:tcW w:w="2603" w:type="dxa"/>
          </w:tcPr>
          <w:p w14:paraId="08F20E1E" w14:textId="12F9D951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Una plantilla sencilla de presupuesto diseñada para ayudar al personal y a los puntos focales </w:t>
            </w:r>
            <w:r w:rsidR="00320D0F" w:rsidRPr="00320D0F">
              <w:rPr>
                <w:lang w:val="es-419"/>
              </w:rPr>
              <w:t xml:space="preserve">de PGI </w:t>
            </w:r>
            <w:r w:rsidRPr="005E6E3E">
              <w:rPr>
                <w:lang w:val="es-419"/>
              </w:rPr>
              <w:t xml:space="preserve">en el campo a desarrollar presupuestos precisos para la evaluación, monitoreo y programación independiente de </w:t>
            </w:r>
            <w:r w:rsidR="00320D0F">
              <w:rPr>
                <w:lang w:val="es-419"/>
              </w:rPr>
              <w:t xml:space="preserve">la </w:t>
            </w:r>
            <w:r w:rsidRPr="005E6E3E">
              <w:rPr>
                <w:lang w:val="es-419"/>
              </w:rPr>
              <w:t xml:space="preserve">PGI. Esta plantilla no tiene el formato de un presupuesto de </w:t>
            </w:r>
            <w:proofErr w:type="spellStart"/>
            <w:r w:rsidR="00D66D4D">
              <w:rPr>
                <w:lang w:val="es-419"/>
              </w:rPr>
              <w:t>PdAE</w:t>
            </w:r>
            <w:proofErr w:type="spellEnd"/>
            <w:r w:rsidR="00D66D4D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, ya que los presupuestos de los </w:t>
            </w:r>
            <w:proofErr w:type="spellStart"/>
            <w:r w:rsidR="00831AA1">
              <w:rPr>
                <w:lang w:val="es-419"/>
              </w:rPr>
              <w:t>PdAE</w:t>
            </w:r>
            <w:proofErr w:type="spellEnd"/>
            <w:r w:rsidR="00831AA1">
              <w:rPr>
                <w:lang w:val="es-419"/>
              </w:rPr>
              <w:t>/EPoA</w:t>
            </w:r>
            <w:r w:rsidRPr="005E6E3E">
              <w:rPr>
                <w:lang w:val="es-419"/>
              </w:rPr>
              <w:t xml:space="preserve"> tienen códigos de presupuesto estándar. Esta más bien le ayudará a diseñar un presupuesto independientemente de si se está usando o no un </w:t>
            </w:r>
            <w:proofErr w:type="spellStart"/>
            <w:r w:rsidR="00831AA1">
              <w:rPr>
                <w:lang w:val="es-419"/>
              </w:rPr>
              <w:t>PdAE</w:t>
            </w:r>
            <w:proofErr w:type="spellEnd"/>
            <w:r w:rsidR="00831AA1">
              <w:rPr>
                <w:lang w:val="es-419"/>
              </w:rPr>
              <w:t>/EPoA</w:t>
            </w:r>
          </w:p>
        </w:tc>
        <w:tc>
          <w:tcPr>
            <w:tcW w:w="2413" w:type="dxa"/>
          </w:tcPr>
          <w:p w14:paraId="4914532A" w14:textId="22EAD878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Personal </w:t>
            </w:r>
            <w:r w:rsidR="0040304D" w:rsidRPr="005E6E3E">
              <w:rPr>
                <w:lang w:val="es-419"/>
              </w:rPr>
              <w:t xml:space="preserve">y puntos focales </w:t>
            </w:r>
            <w:r w:rsidRPr="005E6E3E">
              <w:rPr>
                <w:lang w:val="es-419"/>
              </w:rPr>
              <w:t>de PGI en el campo</w:t>
            </w:r>
          </w:p>
        </w:tc>
        <w:tc>
          <w:tcPr>
            <w:tcW w:w="1885" w:type="dxa"/>
          </w:tcPr>
          <w:p w14:paraId="00057AC2" w14:textId="77777777" w:rsidR="00CE1CE4" w:rsidRPr="005E6E3E" w:rsidRDefault="00CE1CE4" w:rsidP="00CE1CE4">
            <w:pPr>
              <w:rPr>
                <w:lang w:val="es-419"/>
              </w:rPr>
            </w:pPr>
          </w:p>
        </w:tc>
      </w:tr>
      <w:tr w:rsidR="00CE1CE4" w:rsidRPr="00D66D4D" w14:paraId="1BA9E6A8" w14:textId="6D430F42" w:rsidTr="003906DD">
        <w:tc>
          <w:tcPr>
            <w:tcW w:w="2261" w:type="dxa"/>
          </w:tcPr>
          <w:p w14:paraId="176BD082" w14:textId="61957AB2" w:rsidR="00CE1CE4" w:rsidRPr="005E6E3E" w:rsidRDefault="00CE1CE4" w:rsidP="00CE1CE4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 xml:space="preserve">Herramienta 2.4: Biblioteca de </w:t>
            </w:r>
            <w:r w:rsidR="00382DAC" w:rsidRPr="005E6E3E">
              <w:rPr>
                <w:b/>
                <w:bCs/>
                <w:lang w:val="es-419"/>
              </w:rPr>
              <w:t>Evaluación</w:t>
            </w:r>
            <w:r w:rsidR="00382DAC">
              <w:rPr>
                <w:b/>
                <w:bCs/>
                <w:lang w:val="es-419"/>
              </w:rPr>
              <w:t xml:space="preserve"> de PGI en Emergencias</w:t>
            </w:r>
            <w:r w:rsidRPr="005E6E3E">
              <w:rPr>
                <w:b/>
                <w:bCs/>
                <w:lang w:val="es-419"/>
              </w:rPr>
              <w:t xml:space="preserve">, guía de análisis </w:t>
            </w:r>
          </w:p>
        </w:tc>
        <w:tc>
          <w:tcPr>
            <w:tcW w:w="2603" w:type="dxa"/>
          </w:tcPr>
          <w:p w14:paraId="104FDB01" w14:textId="1476167A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>Este documento contiene orientación sobre cómo usar la biblioteca de evaluación y los pasos necesarios para completar un Análisis Rápido de PGI.</w:t>
            </w:r>
          </w:p>
          <w:p w14:paraId="7F223544" w14:textId="77777777" w:rsidR="00CE1CE4" w:rsidRPr="005E6E3E" w:rsidRDefault="00CE1CE4" w:rsidP="00CE1CE4">
            <w:pPr>
              <w:rPr>
                <w:lang w:val="es-419"/>
              </w:rPr>
            </w:pPr>
          </w:p>
          <w:p w14:paraId="1E2AC2AD" w14:textId="3255BB1C" w:rsidR="00CE1CE4" w:rsidRPr="005E6E3E" w:rsidRDefault="00CE1CE4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>La hoja de cálculo de Excel contiene 5 pestañas con preguntas clave para:</w:t>
            </w:r>
          </w:p>
          <w:p w14:paraId="719F8B44" w14:textId="77777777" w:rsidR="00AB1032" w:rsidRPr="005E6E3E" w:rsidRDefault="00AB1032" w:rsidP="005E3719">
            <w:pPr>
              <w:pStyle w:val="Prrafodelista"/>
              <w:numPr>
                <w:ilvl w:val="0"/>
                <w:numId w:val="3"/>
              </w:numPr>
              <w:ind w:left="416"/>
              <w:rPr>
                <w:lang w:val="es-419"/>
              </w:rPr>
            </w:pPr>
            <w:r w:rsidRPr="005E6E3E">
              <w:rPr>
                <w:lang w:val="es-419"/>
              </w:rPr>
              <w:t>Realizar una evaluación de PGI basada en escritorio</w:t>
            </w:r>
          </w:p>
          <w:p w14:paraId="10AE9BFA" w14:textId="77777777" w:rsidR="00AB1032" w:rsidRPr="005E6E3E" w:rsidRDefault="00AB1032" w:rsidP="005E3719">
            <w:pPr>
              <w:pStyle w:val="Prrafodelista"/>
              <w:numPr>
                <w:ilvl w:val="0"/>
                <w:numId w:val="3"/>
              </w:numPr>
              <w:ind w:left="416"/>
              <w:rPr>
                <w:lang w:val="es-419"/>
              </w:rPr>
            </w:pPr>
            <w:r w:rsidRPr="005E6E3E">
              <w:rPr>
                <w:lang w:val="es-419"/>
              </w:rPr>
              <w:t>Realizar una evaluación rápida de PGI basada en el campo</w:t>
            </w:r>
          </w:p>
          <w:p w14:paraId="698741AC" w14:textId="0D8C6CE6" w:rsidR="00AB1032" w:rsidRPr="005E6E3E" w:rsidRDefault="00AB1032" w:rsidP="005E3719">
            <w:pPr>
              <w:pStyle w:val="Prrafodelista"/>
              <w:numPr>
                <w:ilvl w:val="0"/>
                <w:numId w:val="3"/>
              </w:numPr>
              <w:ind w:left="416"/>
              <w:rPr>
                <w:lang w:val="es-419"/>
              </w:rPr>
            </w:pPr>
            <w:r w:rsidRPr="005E6E3E">
              <w:rPr>
                <w:lang w:val="es-419"/>
              </w:rPr>
              <w:t xml:space="preserve">Establecer los parámetros de </w:t>
            </w:r>
            <w:r w:rsidR="005E3719">
              <w:rPr>
                <w:lang w:val="es-419"/>
              </w:rPr>
              <w:t xml:space="preserve">la </w:t>
            </w:r>
            <w:r w:rsidRPr="005E6E3E">
              <w:rPr>
                <w:lang w:val="es-419"/>
              </w:rPr>
              <w:t>recopilación</w:t>
            </w:r>
            <w:r w:rsidR="005E3719">
              <w:rPr>
                <w:lang w:val="es-419"/>
              </w:rPr>
              <w:t xml:space="preserve"> de</w:t>
            </w:r>
            <w:r w:rsidRPr="005E6E3E">
              <w:rPr>
                <w:lang w:val="es-419"/>
              </w:rPr>
              <w:t xml:space="preserve"> datos </w:t>
            </w:r>
            <w:r w:rsidR="005E3719">
              <w:rPr>
                <w:lang w:val="es-419"/>
              </w:rPr>
              <w:t>sobre</w:t>
            </w:r>
            <w:r w:rsidRPr="005E6E3E">
              <w:rPr>
                <w:lang w:val="es-419"/>
              </w:rPr>
              <w:t xml:space="preserve"> sexo, edad y discapacidad de la respuesta (en colaboración con los equipos de PMER, GD y otros)</w:t>
            </w:r>
          </w:p>
          <w:p w14:paraId="63C10235" w14:textId="5EA0AECD" w:rsidR="00CE1CE4" w:rsidRPr="005E6E3E" w:rsidRDefault="00AB1032" w:rsidP="005E3719">
            <w:pPr>
              <w:pStyle w:val="Prrafodelista"/>
              <w:numPr>
                <w:ilvl w:val="0"/>
                <w:numId w:val="3"/>
              </w:numPr>
              <w:ind w:left="416"/>
              <w:rPr>
                <w:lang w:val="es-419"/>
              </w:rPr>
            </w:pPr>
            <w:r w:rsidRPr="005E6E3E">
              <w:rPr>
                <w:lang w:val="es-419"/>
              </w:rPr>
              <w:t xml:space="preserve">Sugerir de 3 a 5 preguntas en materia de PGI </w:t>
            </w:r>
            <w:r w:rsidR="004D6FFD">
              <w:rPr>
                <w:lang w:val="es-419"/>
              </w:rPr>
              <w:t>para integrarlas</w:t>
            </w:r>
            <w:r w:rsidRPr="005E6E3E">
              <w:rPr>
                <w:lang w:val="es-419"/>
              </w:rPr>
              <w:t xml:space="preserve"> en cada una de las </w:t>
            </w:r>
            <w:r w:rsidR="005E3719" w:rsidRPr="005E6E3E">
              <w:rPr>
                <w:lang w:val="es-419"/>
              </w:rPr>
              <w:t xml:space="preserve">Evaluaciones Sectoriales </w:t>
            </w:r>
            <w:r w:rsidRPr="005E6E3E">
              <w:rPr>
                <w:lang w:val="es-419"/>
              </w:rPr>
              <w:t>(usted deberá priorizar de esta larga lista, la cual se basa en las Normas Mínimas sobre la PGI de la FICR en la orientación sectorial para la programación de emergencia</w:t>
            </w:r>
            <w:r w:rsidR="00CE1CE4" w:rsidRPr="005E6E3E">
              <w:rPr>
                <w:lang w:val="es-419"/>
              </w:rPr>
              <w:t>)</w:t>
            </w:r>
          </w:p>
          <w:p w14:paraId="57C1B002" w14:textId="13749FDF" w:rsidR="00CE1CE4" w:rsidRPr="005E6E3E" w:rsidRDefault="00AB1032" w:rsidP="005E3719">
            <w:pPr>
              <w:pStyle w:val="Prrafodelista"/>
              <w:numPr>
                <w:ilvl w:val="0"/>
                <w:numId w:val="3"/>
              </w:numPr>
              <w:ind w:left="416"/>
              <w:rPr>
                <w:lang w:val="es-419"/>
              </w:rPr>
            </w:pPr>
            <w:r w:rsidRPr="005E6E3E">
              <w:rPr>
                <w:lang w:val="es-419"/>
              </w:rPr>
              <w:t>Realizar una Evaluación de Riesgo de Explotación y Abuso Sexual</w:t>
            </w:r>
          </w:p>
        </w:tc>
        <w:tc>
          <w:tcPr>
            <w:tcW w:w="2413" w:type="dxa"/>
          </w:tcPr>
          <w:p w14:paraId="3C8A2B3F" w14:textId="1ACA59F5" w:rsidR="00CE1CE4" w:rsidRPr="005E6E3E" w:rsidRDefault="0040304D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>Personal de PGI en el campo, personal de PGI en la sede y en las oficinas regionales. La pestaña 4 puede ser utilizada por los líderes del sector, quienes deben seleccionar un máximo de 5 preguntas para integrarlas en su metodología de evaluación existente</w:t>
            </w:r>
          </w:p>
        </w:tc>
        <w:tc>
          <w:tcPr>
            <w:tcW w:w="1885" w:type="dxa"/>
          </w:tcPr>
          <w:p w14:paraId="40AD4C51" w14:textId="29B5F478" w:rsidR="00CE1CE4" w:rsidRPr="005E6E3E" w:rsidRDefault="0040304D" w:rsidP="00CE1CE4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Esta herramienta también puede usarse en la planificación </w:t>
            </w:r>
            <w:r w:rsidR="004A3C8F">
              <w:rPr>
                <w:lang w:val="es-419"/>
              </w:rPr>
              <w:t>para la</w:t>
            </w:r>
            <w:r w:rsidRPr="005E6E3E">
              <w:rPr>
                <w:lang w:val="es-419"/>
              </w:rPr>
              <w:t xml:space="preserve"> Recuperación</w:t>
            </w:r>
          </w:p>
        </w:tc>
      </w:tr>
      <w:tr w:rsidR="0040304D" w:rsidRPr="00D66D4D" w14:paraId="0793776D" w14:textId="53559212" w:rsidTr="003906DD">
        <w:tc>
          <w:tcPr>
            <w:tcW w:w="2261" w:type="dxa"/>
          </w:tcPr>
          <w:p w14:paraId="60027B8B" w14:textId="1BE45760" w:rsidR="0040304D" w:rsidRPr="005E6E3E" w:rsidRDefault="0040304D" w:rsidP="0040304D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>Herramienta 2.5: Plantilla de Análisis de Evaluación Rápida de PGI</w:t>
            </w:r>
          </w:p>
        </w:tc>
        <w:tc>
          <w:tcPr>
            <w:tcW w:w="2603" w:type="dxa"/>
          </w:tcPr>
          <w:p w14:paraId="5A4A6C65" w14:textId="5ED41111" w:rsidR="0040304D" w:rsidRPr="005E6E3E" w:rsidRDefault="0040304D" w:rsidP="0040304D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Esta plantilla está diseñada para guiar el análisis de las evaluaciones de PGI basadas en escritorio y en el campo. Esta proporciona una proforma con secciones editables. </w:t>
            </w:r>
          </w:p>
        </w:tc>
        <w:tc>
          <w:tcPr>
            <w:tcW w:w="2413" w:type="dxa"/>
          </w:tcPr>
          <w:p w14:paraId="742D43EB" w14:textId="0025887F" w:rsidR="0040304D" w:rsidRPr="005E6E3E" w:rsidRDefault="0040304D" w:rsidP="0040304D">
            <w:pPr>
              <w:rPr>
                <w:lang w:val="es-419"/>
              </w:rPr>
            </w:pPr>
            <w:r w:rsidRPr="005E6E3E">
              <w:rPr>
                <w:lang w:val="es-419"/>
              </w:rPr>
              <w:t>Personal y puntos focales de PGI</w:t>
            </w:r>
          </w:p>
        </w:tc>
        <w:tc>
          <w:tcPr>
            <w:tcW w:w="1885" w:type="dxa"/>
          </w:tcPr>
          <w:p w14:paraId="14D1A3CB" w14:textId="368D142E" w:rsidR="0040304D" w:rsidRPr="005E6E3E" w:rsidRDefault="005E6E3E" w:rsidP="0040304D">
            <w:pPr>
              <w:rPr>
                <w:lang w:val="es-419"/>
              </w:rPr>
            </w:pPr>
            <w:r w:rsidRPr="005E6E3E">
              <w:rPr>
                <w:lang w:val="es-419"/>
              </w:rPr>
              <w:t>Esta herramienta también puede usarse en la planificación para la recuperación (cuando se pretende tener un plan de recuperación) o para fundamentar la recuperación en curso desde el comienzo de la respuesta a la emergencia</w:t>
            </w:r>
          </w:p>
        </w:tc>
      </w:tr>
      <w:tr w:rsidR="0040304D" w:rsidRPr="00D66D4D" w14:paraId="187D8519" w14:textId="498561C3" w:rsidTr="003906DD">
        <w:tc>
          <w:tcPr>
            <w:tcW w:w="2261" w:type="dxa"/>
          </w:tcPr>
          <w:p w14:paraId="3F593730" w14:textId="464B3C81" w:rsidR="0040304D" w:rsidRPr="005E6E3E" w:rsidRDefault="0040304D" w:rsidP="0040304D">
            <w:pPr>
              <w:rPr>
                <w:b/>
                <w:bCs/>
                <w:lang w:val="es-419"/>
              </w:rPr>
            </w:pPr>
            <w:r w:rsidRPr="005E6E3E">
              <w:rPr>
                <w:b/>
                <w:bCs/>
                <w:lang w:val="es-419"/>
              </w:rPr>
              <w:t xml:space="preserve">Herramienta 2.6: Guía de </w:t>
            </w:r>
            <w:r w:rsidR="00744917" w:rsidRPr="005E6E3E">
              <w:rPr>
                <w:b/>
                <w:bCs/>
                <w:lang w:val="es-419"/>
              </w:rPr>
              <w:t>Discusión</w:t>
            </w:r>
            <w:r w:rsidRPr="005E6E3E">
              <w:rPr>
                <w:b/>
                <w:bCs/>
                <w:lang w:val="es-419"/>
              </w:rPr>
              <w:t xml:space="preserve"> del </w:t>
            </w:r>
            <w:r w:rsidR="00744917" w:rsidRPr="005E6E3E">
              <w:rPr>
                <w:b/>
                <w:bCs/>
                <w:lang w:val="es-419"/>
              </w:rPr>
              <w:t xml:space="preserve">Grupo Focal </w:t>
            </w:r>
            <w:r w:rsidRPr="005E6E3E">
              <w:rPr>
                <w:b/>
                <w:bCs/>
                <w:lang w:val="es-419"/>
              </w:rPr>
              <w:t>de PGI</w:t>
            </w:r>
          </w:p>
        </w:tc>
        <w:tc>
          <w:tcPr>
            <w:tcW w:w="2603" w:type="dxa"/>
          </w:tcPr>
          <w:p w14:paraId="5CA6F4D1" w14:textId="3C180313" w:rsidR="0040304D" w:rsidRPr="005E6E3E" w:rsidRDefault="0040304D" w:rsidP="0040304D">
            <w:pPr>
              <w:rPr>
                <w:lang w:val="es-419"/>
              </w:rPr>
            </w:pPr>
            <w:r w:rsidRPr="005E6E3E">
              <w:rPr>
                <w:lang w:val="es-419"/>
              </w:rPr>
              <w:t>Esta herramienta proporciona orientación, actividades, preguntas y una página</w:t>
            </w:r>
            <w:r w:rsidR="004A3C8F">
              <w:rPr>
                <w:lang w:val="es-419"/>
              </w:rPr>
              <w:t xml:space="preserve"> donde tomar</w:t>
            </w:r>
            <w:r w:rsidRPr="005E6E3E">
              <w:rPr>
                <w:lang w:val="es-419"/>
              </w:rPr>
              <w:t xml:space="preserve"> notas para realizar discusiones de grupos focales específicas a PGI con hombres, mujeres, niños, niñas y personas de todos los géneros en la comunidad. Esta incluye preguntas que brindarán detalles sobre las necesidades relacionadas con dignidad, acceso, participación y seguridad de los diferentes grupos de la comunidad. Dicha información puede complementar el Análisis Rápido de PGI, los planes sectoriales, la respuesta general, o puede realizarse para mejorar la calidad a lo largo de la implementación</w:t>
            </w:r>
          </w:p>
        </w:tc>
        <w:tc>
          <w:tcPr>
            <w:tcW w:w="2413" w:type="dxa"/>
          </w:tcPr>
          <w:p w14:paraId="0C0AE19A" w14:textId="7AAD9903" w:rsidR="0040304D" w:rsidRPr="005E6E3E" w:rsidRDefault="00972B52" w:rsidP="0040304D">
            <w:pPr>
              <w:rPr>
                <w:lang w:val="es-419"/>
              </w:rPr>
            </w:pPr>
            <w:r w:rsidRPr="005E6E3E">
              <w:rPr>
                <w:lang w:val="es-419"/>
              </w:rPr>
              <w:t>El personal de PGI que guía a los voluntarios capacitados en PGI</w:t>
            </w:r>
          </w:p>
        </w:tc>
        <w:tc>
          <w:tcPr>
            <w:tcW w:w="1885" w:type="dxa"/>
          </w:tcPr>
          <w:p w14:paraId="1D044677" w14:textId="6E492773" w:rsidR="0040304D" w:rsidRPr="005E6E3E" w:rsidRDefault="0040304D" w:rsidP="0040304D">
            <w:pPr>
              <w:rPr>
                <w:lang w:val="es-419"/>
              </w:rPr>
            </w:pPr>
            <w:r w:rsidRPr="005E6E3E">
              <w:rPr>
                <w:lang w:val="es-419"/>
              </w:rPr>
              <w:t xml:space="preserve">Lista para usarse </w:t>
            </w:r>
            <w:r w:rsidR="00972B52" w:rsidRPr="005E6E3E">
              <w:rPr>
                <w:lang w:val="es-419"/>
              </w:rPr>
              <w:t>para la recuperación</w:t>
            </w:r>
          </w:p>
        </w:tc>
      </w:tr>
    </w:tbl>
    <w:p w14:paraId="2267D3BF" w14:textId="77777777" w:rsidR="00D70B1F" w:rsidRPr="005E6E3E" w:rsidRDefault="00D70B1F" w:rsidP="00D70B1F">
      <w:pPr>
        <w:rPr>
          <w:lang w:val="es-419"/>
        </w:rPr>
      </w:pPr>
    </w:p>
    <w:p w14:paraId="0432FAB1" w14:textId="77777777" w:rsidR="00FA4C92" w:rsidRPr="005E6E3E" w:rsidRDefault="00FA4C92" w:rsidP="00D70B1F">
      <w:pPr>
        <w:rPr>
          <w:lang w:val="es-419"/>
        </w:rPr>
      </w:pPr>
    </w:p>
    <w:sectPr w:rsidR="00FA4C92" w:rsidRPr="005E6E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A979" w14:textId="77777777" w:rsidR="00E76F03" w:rsidRDefault="00E76F03" w:rsidP="00E76F03">
      <w:pPr>
        <w:spacing w:after="0" w:line="240" w:lineRule="auto"/>
      </w:pPr>
      <w:r>
        <w:separator/>
      </w:r>
    </w:p>
  </w:endnote>
  <w:endnote w:type="continuationSeparator" w:id="0">
    <w:p w14:paraId="1C3A05F7" w14:textId="77777777" w:rsidR="00E76F03" w:rsidRDefault="00E76F03" w:rsidP="00E7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D460" w14:textId="275B9222" w:rsidR="00E76F03" w:rsidRDefault="00E76F0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01EBDA" wp14:editId="1A9F70C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2" name="Cuadro de texto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4245B" w14:textId="2F138343" w:rsidR="00E76F03" w:rsidRPr="00E76F03" w:rsidRDefault="00E76F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6F0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1EB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" filled="f" stroked="f">
              <v:fill o:detectmouseclick="t"/>
              <v:textbox style="mso-fit-shape-to-text:t" inset="5pt,0,0,0">
                <w:txbxContent>
                  <w:p w14:paraId="37A4245B" w14:textId="2F138343" w:rsidR="00E76F03" w:rsidRPr="00E76F03" w:rsidRDefault="00E76F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6F0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2E43" w14:textId="6813BB30" w:rsidR="00E76F03" w:rsidRDefault="00E76F0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010776" wp14:editId="779FCC4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Cuadro de texto 3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5BAAD" w14:textId="00C7449C" w:rsidR="00E76F03" w:rsidRPr="00E76F03" w:rsidRDefault="00E76F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6F0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1077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" filled="f" stroked="f">
              <v:fill o:detectmouseclick="t"/>
              <v:textbox style="mso-fit-shape-to-text:t" inset="5pt,0,0,0">
                <w:txbxContent>
                  <w:p w14:paraId="32B5BAAD" w14:textId="00C7449C" w:rsidR="00E76F03" w:rsidRPr="00E76F03" w:rsidRDefault="00E76F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6F0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093A" w14:textId="4910F2B9" w:rsidR="00E76F03" w:rsidRDefault="00E76F0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3C752E" wp14:editId="3B69F7C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1" name="Cuadro de texto 1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4278C" w14:textId="018DE3D4" w:rsidR="00E76F03" w:rsidRPr="00E76F03" w:rsidRDefault="00E76F0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6F0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C752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DuE2GMoAgAATw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31A4278C" w14:textId="018DE3D4" w:rsidR="00E76F03" w:rsidRPr="00E76F03" w:rsidRDefault="00E76F0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6F0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8391B" w14:textId="77777777" w:rsidR="00E76F03" w:rsidRDefault="00E76F03" w:rsidP="00E76F03">
      <w:pPr>
        <w:spacing w:after="0" w:line="240" w:lineRule="auto"/>
      </w:pPr>
      <w:r>
        <w:separator/>
      </w:r>
    </w:p>
  </w:footnote>
  <w:footnote w:type="continuationSeparator" w:id="0">
    <w:p w14:paraId="1DD5DBA5" w14:textId="77777777" w:rsidR="00E76F03" w:rsidRDefault="00E76F03" w:rsidP="00E7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9CF6" w14:textId="77777777" w:rsidR="00E76F03" w:rsidRDefault="00E76F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E247" w14:textId="77777777" w:rsidR="00E76F03" w:rsidRDefault="00E76F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EBBE" w14:textId="77777777" w:rsidR="00E76F03" w:rsidRDefault="00E76F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B333F"/>
    <w:multiLevelType w:val="hybridMultilevel"/>
    <w:tmpl w:val="46DCE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6292"/>
    <w:multiLevelType w:val="hybridMultilevel"/>
    <w:tmpl w:val="F4A4FB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70F13"/>
    <w:multiLevelType w:val="hybridMultilevel"/>
    <w:tmpl w:val="CFB86580"/>
    <w:lvl w:ilvl="0" w:tplc="7CC03B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1F"/>
    <w:rsid w:val="000A3A06"/>
    <w:rsid w:val="00276126"/>
    <w:rsid w:val="00320D0F"/>
    <w:rsid w:val="00382DAC"/>
    <w:rsid w:val="003906DD"/>
    <w:rsid w:val="003D440E"/>
    <w:rsid w:val="0040304D"/>
    <w:rsid w:val="004A3C8F"/>
    <w:rsid w:val="004B39B3"/>
    <w:rsid w:val="004D6FFD"/>
    <w:rsid w:val="00512C46"/>
    <w:rsid w:val="005822F7"/>
    <w:rsid w:val="005C3C01"/>
    <w:rsid w:val="005E3719"/>
    <w:rsid w:val="005E6E3E"/>
    <w:rsid w:val="006C224E"/>
    <w:rsid w:val="00744917"/>
    <w:rsid w:val="007A3184"/>
    <w:rsid w:val="007C57FD"/>
    <w:rsid w:val="00831AA1"/>
    <w:rsid w:val="0091571A"/>
    <w:rsid w:val="009644D5"/>
    <w:rsid w:val="00972B52"/>
    <w:rsid w:val="00AB1032"/>
    <w:rsid w:val="00BB6C19"/>
    <w:rsid w:val="00C00CA8"/>
    <w:rsid w:val="00C85DED"/>
    <w:rsid w:val="00CB62A4"/>
    <w:rsid w:val="00CE1CE4"/>
    <w:rsid w:val="00D315DF"/>
    <w:rsid w:val="00D66D4D"/>
    <w:rsid w:val="00D70B1F"/>
    <w:rsid w:val="00D963F9"/>
    <w:rsid w:val="00E55572"/>
    <w:rsid w:val="00E76F03"/>
    <w:rsid w:val="00EF4CB4"/>
    <w:rsid w:val="00F36A95"/>
    <w:rsid w:val="00FA4C92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7131"/>
  <w15:chartTrackingRefBased/>
  <w15:docId w15:val="{B75A441A-D26B-4AB9-A502-474BDCA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aliases w:val="Domyślna czcionka akapitu,Default Paragraph Font"/>
    <w:uiPriority w:val="1"/>
    <w:semiHidden/>
    <w:unhideWhenUsed/>
  </w:style>
  <w:style w:type="table" w:default="1" w:styleId="Tablanormal">
    <w:name w:val="Normal Table"/>
    <w:aliases w:val="Standardowy,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aliases w:val="Bez listy,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B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24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F03"/>
  </w:style>
  <w:style w:type="paragraph" w:styleId="Piedepgina">
    <w:name w:val="footer"/>
    <w:basedOn w:val="Normal"/>
    <w:link w:val="PiedepginaCar"/>
    <w:uiPriority w:val="99"/>
    <w:unhideWhenUsed/>
    <w:rsid w:val="00E76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51524-659D-48BB-8C8B-0DFFF49E69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04C6BD-EC6B-4CBF-997F-E6BC67429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20A5C-600E-46D1-BC7F-917A67FB5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4809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Manager/>
  <Company/>
  <LinksUpToDate>false</LinksUpToDate>
  <CharactersWithSpaces>5672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Maloney</dc:creator>
  <cp:keywords/>
  <dc:description/>
  <cp:lastModifiedBy>Cayetana FERNANDEZ</cp:lastModifiedBy>
  <cp:revision>16</cp:revision>
  <cp:lastPrinted>1900-01-01T08:00:00Z</cp:lastPrinted>
  <dcterms:created xsi:type="dcterms:W3CDTF">2021-04-13T15:02:00Z</dcterms:created>
  <dcterms:modified xsi:type="dcterms:W3CDTF">2021-04-13T15:02:00Z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Public</vt:lpwstr>
  </property>
  <property fmtid="{D5CDD505-2E9C-101B-9397-08002B2CF9AE}" pid="6" name="MSIP_Label_caf3f7fd-5cd4-4287-9002-aceb9af13c42_Enabled">
    <vt:lpwstr>True</vt:lpwstr>
  </property>
  <property fmtid="{D5CDD505-2E9C-101B-9397-08002B2CF9AE}" pid="7" name="MSIP_Label_caf3f7fd-5cd4-4287-9002-aceb9af13c42_SiteId">
    <vt:lpwstr>a2b53be5-734e-4e6c-ab0d-d184f60fd917</vt:lpwstr>
  </property>
  <property fmtid="{D5CDD505-2E9C-101B-9397-08002B2CF9AE}" pid="8" name="MSIP_Label_caf3f7fd-5cd4-4287-9002-aceb9af13c42_ActionId">
    <vt:lpwstr>ff6c4d2a-24eb-4dbd-8c66-32deb817cf5f</vt:lpwstr>
  </property>
  <property fmtid="{D5CDD505-2E9C-101B-9397-08002B2CF9AE}" pid="9" name="MSIP_Label_caf3f7fd-5cd4-4287-9002-aceb9af13c42_Method">
    <vt:lpwstr>Privileged</vt:lpwstr>
  </property>
  <property fmtid="{D5CDD505-2E9C-101B-9397-08002B2CF9AE}" pid="10" name="MSIP_Label_caf3f7fd-5cd4-4287-9002-aceb9af13c42_SetDate">
    <vt:lpwstr>2021-04-13T15:02:05Z</vt:lpwstr>
  </property>
  <property fmtid="{D5CDD505-2E9C-101B-9397-08002B2CF9AE}" pid="11" name="MSIP_Label_caf3f7fd-5cd4-4287-9002-aceb9af13c42_Name">
    <vt:lpwstr>Public</vt:lpwstr>
  </property>
  <property fmtid="{D5CDD505-2E9C-101B-9397-08002B2CF9AE}" pid="12" name="MSIP_Label_caf3f7fd-5cd4-4287-9002-aceb9af13c42_ContentBits">
    <vt:lpwstr>2</vt:lpwstr>
  </property>
</Properties>
</file>