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24FDB" w:rsidR="007B61D0" w:rsidRDefault="007B61D0" w14:paraId="6D4AFD79" w14:textId="77777777">
      <w:pPr>
        <w:rPr>
          <w:b/>
          <w:sz w:val="36"/>
          <w:szCs w:val="36"/>
          <w:lang w:val="es-419"/>
        </w:rPr>
      </w:pPr>
    </w:p>
    <w:p w:rsidRPr="00A24FDB" w:rsidR="007B61D0" w:rsidRDefault="007B61D0" w14:paraId="70EAEC23" w14:textId="77777777">
      <w:pPr>
        <w:rPr>
          <w:b/>
          <w:sz w:val="36"/>
          <w:szCs w:val="36"/>
          <w:lang w:val="es-419"/>
        </w:rPr>
      </w:pPr>
    </w:p>
    <w:p w:rsidRPr="00A24FDB" w:rsidR="007B61D0" w:rsidRDefault="007B61D0" w14:paraId="7F71EB2E" w14:textId="77777777">
      <w:pPr>
        <w:rPr>
          <w:b/>
          <w:sz w:val="36"/>
          <w:szCs w:val="36"/>
          <w:lang w:val="es-419"/>
        </w:rPr>
      </w:pPr>
    </w:p>
    <w:p w:rsidRPr="00A24FDB" w:rsidR="007B61D0" w:rsidRDefault="007B61D0" w14:paraId="50583647" w14:textId="77777777">
      <w:pPr>
        <w:rPr>
          <w:b/>
          <w:sz w:val="36"/>
          <w:szCs w:val="36"/>
          <w:lang w:val="es-419"/>
        </w:rPr>
      </w:pPr>
    </w:p>
    <w:p w:rsidRPr="00A24FDB" w:rsidR="007B61D0" w:rsidRDefault="007B61D0" w14:paraId="6327114A" w14:textId="77777777">
      <w:pPr>
        <w:rPr>
          <w:b/>
          <w:sz w:val="36"/>
          <w:szCs w:val="36"/>
          <w:lang w:val="es-419"/>
        </w:rPr>
      </w:pPr>
    </w:p>
    <w:p w:rsidRPr="00A24FDB" w:rsidR="007B61D0" w:rsidRDefault="007B61D0" w14:paraId="6CCF395E" w14:textId="77777777">
      <w:pPr>
        <w:rPr>
          <w:b/>
          <w:sz w:val="36"/>
          <w:szCs w:val="36"/>
          <w:lang w:val="es-419"/>
        </w:rPr>
      </w:pPr>
    </w:p>
    <w:p w:rsidRPr="00A24FDB" w:rsidR="007B61D0" w:rsidRDefault="007B61D0" w14:paraId="64D8C428" w14:textId="77777777">
      <w:pPr>
        <w:rPr>
          <w:b/>
          <w:sz w:val="36"/>
          <w:szCs w:val="36"/>
          <w:lang w:val="es-419"/>
        </w:rPr>
      </w:pPr>
    </w:p>
    <w:p w:rsidRPr="00A24FDB" w:rsidR="007B61D0" w:rsidP="005306A6" w:rsidRDefault="005306A6" w14:paraId="6AEA19DB" w14:textId="04510D8F">
      <w:pPr>
        <w:jc w:val="center"/>
        <w:rPr>
          <w:b/>
          <w:sz w:val="36"/>
          <w:szCs w:val="36"/>
          <w:lang w:val="es-419"/>
        </w:rPr>
      </w:pPr>
      <w:r>
        <w:rPr>
          <w:b/>
          <w:sz w:val="36"/>
          <w:szCs w:val="36"/>
          <w:lang w:val="es-419"/>
        </w:rPr>
        <w:t xml:space="preserve">Kit de Herramientas de                                                 </w:t>
      </w:r>
      <w:r w:rsidRPr="00A24FDB">
        <w:rPr>
          <w:b/>
          <w:sz w:val="36"/>
          <w:szCs w:val="36"/>
          <w:lang w:val="es-419"/>
        </w:rPr>
        <w:t>Protección</w:t>
      </w:r>
      <w:r w:rsidRPr="00A24FDB" w:rsidR="000C6B6A">
        <w:rPr>
          <w:b/>
          <w:sz w:val="36"/>
          <w:szCs w:val="36"/>
          <w:lang w:val="es-419"/>
        </w:rPr>
        <w:t>, G</w:t>
      </w:r>
      <w:r>
        <w:rPr>
          <w:b/>
          <w:sz w:val="36"/>
          <w:szCs w:val="36"/>
          <w:lang w:val="es-419"/>
        </w:rPr>
        <w:t xml:space="preserve">énero e </w:t>
      </w:r>
      <w:r w:rsidRPr="00A24FDB">
        <w:rPr>
          <w:b/>
          <w:sz w:val="36"/>
          <w:szCs w:val="36"/>
          <w:lang w:val="es-419"/>
        </w:rPr>
        <w:t>Inclusión</w:t>
      </w:r>
      <w:r>
        <w:rPr>
          <w:b/>
          <w:sz w:val="36"/>
          <w:szCs w:val="36"/>
          <w:lang w:val="es-419"/>
        </w:rPr>
        <w:t xml:space="preserve"> en </w:t>
      </w:r>
      <w:r w:rsidRPr="00A24FDB">
        <w:rPr>
          <w:b/>
          <w:sz w:val="36"/>
          <w:szCs w:val="36"/>
          <w:lang w:val="es-419"/>
        </w:rPr>
        <w:t>Emergencias</w:t>
      </w:r>
    </w:p>
    <w:p w:rsidRPr="00A24FDB" w:rsidR="007B61D0" w:rsidRDefault="007B61D0" w14:paraId="31EED2E8" w14:textId="77777777">
      <w:pPr>
        <w:rPr>
          <w:b/>
          <w:lang w:val="es-419"/>
        </w:rPr>
      </w:pPr>
    </w:p>
    <w:p w:rsidRPr="00A24FDB" w:rsidR="007B61D0" w:rsidRDefault="000C6B6A" w14:paraId="321DDAEF" w14:textId="77777777">
      <w:pPr>
        <w:rPr>
          <w:b/>
          <w:lang w:val="es-419"/>
        </w:rPr>
      </w:pPr>
      <w:r w:rsidRPr="00A24FDB">
        <w:rPr>
          <w:lang w:val="es-419"/>
        </w:rPr>
        <w:br w:type="page"/>
      </w:r>
    </w:p>
    <w:p w:rsidRPr="00A24FDB" w:rsidR="007B61D0" w:rsidRDefault="000C6B6A" w14:paraId="3E64D5B2" w14:textId="122F34F6">
      <w:pPr>
        <w:rPr>
          <w:b/>
          <w:lang w:val="es-419"/>
        </w:rPr>
      </w:pPr>
      <w:r w:rsidRPr="00A24FDB">
        <w:rPr>
          <w:b/>
          <w:lang w:val="es-419"/>
        </w:rPr>
        <w:t>A</w:t>
      </w:r>
      <w:r w:rsidR="005306A6">
        <w:rPr>
          <w:b/>
          <w:lang w:val="es-419"/>
        </w:rPr>
        <w:t>gradecimientos</w:t>
      </w:r>
    </w:p>
    <w:p w:rsidRPr="00A24FDB" w:rsidR="007B61D0" w:rsidP="5A9AD4E6" w:rsidRDefault="005306A6" w14:paraId="3D66E375" w14:textId="51AC5612" w14:noSpellErr="1">
      <w:pPr>
        <w:jc w:val="both"/>
        <w:rPr>
          <w:lang w:val="es-419"/>
        </w:rPr>
      </w:pPr>
      <w:r w:rsidRPr="5A9AD4E6" w:rsidR="005306A6">
        <w:rPr>
          <w:lang w:val="es-419"/>
        </w:rPr>
        <w:t>El desarrollo de este kit de herramientas no hubiera sido posible sin el generoso apoyo</w:t>
      </w:r>
      <w:r w:rsidRPr="5A9AD4E6" w:rsidR="00DF444B">
        <w:rPr>
          <w:lang w:val="es-419"/>
        </w:rPr>
        <w:t xml:space="preserve"> económico</w:t>
      </w:r>
      <w:r w:rsidRPr="5A9AD4E6" w:rsidR="005306A6">
        <w:rPr>
          <w:lang w:val="es-419"/>
        </w:rPr>
        <w:t xml:space="preserve"> de la Cruz Roja Americana</w:t>
      </w:r>
      <w:r w:rsidRPr="5A9AD4E6" w:rsidR="000C6B6A">
        <w:rPr>
          <w:lang w:val="es-419"/>
        </w:rPr>
        <w:t>.</w:t>
      </w:r>
    </w:p>
    <w:p w:rsidRPr="00A24FDB" w:rsidR="007B61D0" w:rsidP="5A9AD4E6" w:rsidRDefault="005306A6" w14:paraId="2F30D885" w14:textId="1E313ACB">
      <w:pPr>
        <w:jc w:val="both"/>
        <w:rPr>
          <w:lang w:val="es-419"/>
        </w:rPr>
      </w:pPr>
      <w:r w:rsidRPr="5A9AD4E6" w:rsidR="005306A6">
        <w:rPr>
          <w:lang w:val="es-419"/>
        </w:rPr>
        <w:t xml:space="preserve">Los autores principales de este kit de herramientas fueron </w:t>
      </w:r>
      <w:proofErr w:type="spellStart"/>
      <w:r w:rsidRPr="5A9AD4E6" w:rsidR="005306A6">
        <w:rPr>
          <w:lang w:val="es-419"/>
        </w:rPr>
        <w:t>Priyanka</w:t>
      </w:r>
      <w:proofErr w:type="spellEnd"/>
      <w:r w:rsidRPr="5A9AD4E6" w:rsidR="005306A6">
        <w:rPr>
          <w:lang w:val="es-419"/>
        </w:rPr>
        <w:t xml:space="preserve"> </w:t>
      </w:r>
      <w:proofErr w:type="spellStart"/>
      <w:r w:rsidRPr="5A9AD4E6" w:rsidR="005306A6">
        <w:rPr>
          <w:lang w:val="es-419"/>
        </w:rPr>
        <w:t>Bhalla</w:t>
      </w:r>
      <w:proofErr w:type="spellEnd"/>
      <w:r w:rsidRPr="5A9AD4E6" w:rsidR="005306A6">
        <w:rPr>
          <w:lang w:val="es-419"/>
        </w:rPr>
        <w:t xml:space="preserve"> y May Maloney (consultores independientes) bajo la supervisión de Kaisa </w:t>
      </w:r>
      <w:proofErr w:type="spellStart"/>
      <w:r w:rsidRPr="5A9AD4E6" w:rsidR="005306A6">
        <w:rPr>
          <w:lang w:val="es-419"/>
        </w:rPr>
        <w:t>Laitila</w:t>
      </w:r>
      <w:proofErr w:type="spellEnd"/>
      <w:r w:rsidRPr="5A9AD4E6" w:rsidR="005306A6">
        <w:rPr>
          <w:lang w:val="es-419"/>
        </w:rPr>
        <w:t xml:space="preserve"> (FICR)</w:t>
      </w:r>
      <w:r w:rsidRPr="5A9AD4E6" w:rsidR="000C6B6A">
        <w:rPr>
          <w:lang w:val="es-419"/>
        </w:rPr>
        <w:t xml:space="preserve">.  </w:t>
      </w:r>
    </w:p>
    <w:p w:rsidRPr="00A24FDB" w:rsidR="007B61D0" w:rsidP="5A9AD4E6" w:rsidRDefault="005306A6" w14:paraId="7FEF380F" w14:textId="15404494" w14:noSpellErr="1">
      <w:pPr>
        <w:jc w:val="both"/>
        <w:rPr>
          <w:lang w:val="es-419"/>
        </w:rPr>
      </w:pPr>
      <w:r w:rsidRPr="5A9AD4E6" w:rsidR="005306A6">
        <w:rPr>
          <w:lang w:val="es-419"/>
        </w:rPr>
        <w:t>La FICR desea expresar su agradecimiento al Grupo de Trabajo Técnico Global en materia de Protección, Género e Inclusión (PGI) en Emergencias de la Cruz Roja y la Media Luna Roja, el cual está compuesto de 13 Sociedades Nacionales y especialistas del sector de la FICR, por sus valiosos aportes y contribuciones durante todo el proceso de redacción</w:t>
      </w:r>
      <w:r w:rsidRPr="5A9AD4E6" w:rsidR="000C6B6A">
        <w:rPr>
          <w:lang w:val="es-419"/>
        </w:rPr>
        <w:t>.</w:t>
      </w:r>
      <w:r w:rsidRPr="5A9AD4E6">
        <w:rPr>
          <w:lang w:val="es-419"/>
        </w:rPr>
        <w:br w:type="page"/>
      </w:r>
    </w:p>
    <w:p w:rsidRPr="00A24FDB" w:rsidR="007B61D0" w:rsidRDefault="000C6B6A" w14:paraId="17469E2C" w14:textId="7127CF13">
      <w:pPr>
        <w:rPr>
          <w:b/>
          <w:lang w:val="es-419"/>
        </w:rPr>
      </w:pPr>
      <w:r w:rsidRPr="00A24FDB">
        <w:rPr>
          <w:b/>
          <w:lang w:val="es-419"/>
        </w:rPr>
        <w:t>C</w:t>
      </w:r>
      <w:r w:rsidR="005306A6">
        <w:rPr>
          <w:b/>
          <w:lang w:val="es-419"/>
        </w:rPr>
        <w:t xml:space="preserve">apítulo </w:t>
      </w:r>
      <w:r w:rsidRPr="00A24FDB">
        <w:rPr>
          <w:b/>
          <w:lang w:val="es-419"/>
        </w:rPr>
        <w:t>1</w:t>
      </w:r>
      <w:r w:rsidR="005306A6">
        <w:rPr>
          <w:b/>
          <w:lang w:val="es-419"/>
        </w:rPr>
        <w:t xml:space="preserve"> – </w:t>
      </w:r>
      <w:r w:rsidRPr="00A24FDB" w:rsidR="005306A6">
        <w:rPr>
          <w:b/>
          <w:lang w:val="es-419"/>
        </w:rPr>
        <w:t>Introducción</w:t>
      </w:r>
      <w:r w:rsidR="005306A6">
        <w:rPr>
          <w:b/>
          <w:lang w:val="es-419"/>
        </w:rPr>
        <w:t xml:space="preserve"> al </w:t>
      </w:r>
      <w:r w:rsidRPr="005306A6" w:rsidR="005306A6">
        <w:rPr>
          <w:b/>
          <w:lang w:val="es-419"/>
        </w:rPr>
        <w:t>Kit de Herramientas de</w:t>
      </w:r>
      <w:r w:rsidR="005306A6">
        <w:rPr>
          <w:b/>
          <w:lang w:val="es-419"/>
        </w:rPr>
        <w:t xml:space="preserve"> </w:t>
      </w:r>
      <w:r w:rsidRPr="005306A6" w:rsidR="005306A6">
        <w:rPr>
          <w:b/>
          <w:lang w:val="es-419"/>
        </w:rPr>
        <w:t>Protección, Género e Inclusión en Emergencias</w:t>
      </w:r>
    </w:p>
    <w:p w:rsidRPr="00A24FDB" w:rsidR="007B61D0" w:rsidRDefault="005306A6" w14:paraId="0B2EC83E" w14:textId="75936B58">
      <w:pPr>
        <w:rPr>
          <w:b/>
          <w:lang w:val="es-419"/>
        </w:rPr>
      </w:pPr>
      <w:r w:rsidRPr="00A24FDB">
        <w:rPr>
          <w:b/>
          <w:lang w:val="es-419"/>
        </w:rPr>
        <w:t>Introducción</w:t>
      </w:r>
    </w:p>
    <w:p w:rsidRPr="00A24FDB" w:rsidR="007B61D0" w:rsidRDefault="005306A6" w14:paraId="1CC4A63A" w14:textId="79A5007B">
      <w:pPr>
        <w:rPr>
          <w:lang w:val="es-419"/>
        </w:rPr>
      </w:pPr>
      <w:r>
        <w:rPr>
          <w:lang w:val="es-419"/>
        </w:rPr>
        <w:t xml:space="preserve">¡Bienvenidos al </w:t>
      </w:r>
      <w:r w:rsidRPr="005306A6">
        <w:rPr>
          <w:lang w:val="es-419"/>
        </w:rPr>
        <w:t>Kit de Herramientas de Protección, Género e Inclusión</w:t>
      </w:r>
      <w:r>
        <w:rPr>
          <w:lang w:val="es-419"/>
        </w:rPr>
        <w:t xml:space="preserve"> (PGI)</w:t>
      </w:r>
      <w:r w:rsidRPr="005306A6">
        <w:rPr>
          <w:lang w:val="es-419"/>
        </w:rPr>
        <w:t xml:space="preserve"> en Emergencias</w:t>
      </w:r>
      <w:r w:rsidRPr="00A24FDB" w:rsidR="000C6B6A">
        <w:rPr>
          <w:lang w:val="es-419"/>
        </w:rPr>
        <w:t>!</w:t>
      </w:r>
    </w:p>
    <w:p w:rsidRPr="00A24FDB" w:rsidR="007B61D0" w:rsidRDefault="005306A6" w14:paraId="3F29BF49" w14:textId="4421751C">
      <w:pPr>
        <w:rPr>
          <w:lang w:val="es-419"/>
        </w:rPr>
      </w:pPr>
      <w:r>
        <w:rPr>
          <w:lang w:val="es-419"/>
        </w:rPr>
        <w:t xml:space="preserve">Este kit de herramientas acompaña a las </w:t>
      </w:r>
      <w:hyperlink r:id="rId8">
        <w:r>
          <w:rPr>
            <w:color w:val="0563C1"/>
            <w:u w:val="single"/>
            <w:lang w:val="es-419"/>
          </w:rPr>
          <w:t>Normas Mínimas sobre Protección, Género e Inclusión en Emergencias de la FICR</w:t>
        </w:r>
        <w:r w:rsidRPr="00A24FDB" w:rsidR="000C6B6A">
          <w:rPr>
            <w:color w:val="0563C1"/>
            <w:u w:val="single"/>
            <w:lang w:val="es-419"/>
          </w:rPr>
          <w:t xml:space="preserve"> (2018)</w:t>
        </w:r>
      </w:hyperlink>
      <w:r w:rsidRPr="00A24FDB" w:rsidR="000C6B6A">
        <w:rPr>
          <w:lang w:val="es-419"/>
        </w:rPr>
        <w:t xml:space="preserve"> (“</w:t>
      </w:r>
      <w:r>
        <w:rPr>
          <w:lang w:val="es-419"/>
        </w:rPr>
        <w:t>Normas Mínimas</w:t>
      </w:r>
      <w:r w:rsidRPr="00A24FDB" w:rsidR="000C6B6A">
        <w:rPr>
          <w:lang w:val="es-419"/>
        </w:rPr>
        <w:t>”)</w:t>
      </w:r>
      <w:r>
        <w:rPr>
          <w:lang w:val="es-419"/>
        </w:rPr>
        <w:t>,</w:t>
      </w:r>
      <w:r w:rsidRPr="00A24FDB" w:rsidR="000C6B6A">
        <w:rPr>
          <w:lang w:val="es-419"/>
        </w:rPr>
        <w:t xml:space="preserve"> </w:t>
      </w:r>
      <w:r w:rsidRPr="005306A6">
        <w:rPr>
          <w:lang w:val="es-419"/>
        </w:rPr>
        <w:t>y proporciona orientación adicional para la planificación, implementación y monitoreo de estas normas. Además, el Marco de Protección del Movimiento establece que la protección debe transversalizarse en todas las acciones</w:t>
      </w:r>
      <w:r w:rsidRPr="00A24FDB" w:rsidR="000C6B6A">
        <w:rPr>
          <w:lang w:val="es-419"/>
        </w:rPr>
        <w:t>.</w:t>
      </w:r>
    </w:p>
    <w:p w:rsidRPr="00A24FDB" w:rsidR="007B61D0" w:rsidRDefault="005306A6" w14:paraId="3F9C208C" w14:textId="4FAEA48A">
      <w:pPr>
        <w:rPr>
          <w:lang w:val="es-419"/>
        </w:rPr>
      </w:pPr>
      <w:r>
        <w:rPr>
          <w:lang w:val="es-419"/>
        </w:rPr>
        <w:t>Este kit de herramientas está diseñado para</w:t>
      </w:r>
      <w:r w:rsidRPr="00A24FDB" w:rsidR="000C6B6A">
        <w:rPr>
          <w:lang w:val="es-419"/>
        </w:rPr>
        <w:t>:</w:t>
      </w:r>
    </w:p>
    <w:p w:rsidRPr="005306A6" w:rsidR="005306A6" w:rsidP="005306A6" w:rsidRDefault="005F1E52" w14:paraId="1BF0EDC5" w14:textId="230C6C48">
      <w:pPr>
        <w:numPr>
          <w:ilvl w:val="0"/>
          <w:numId w:val="2"/>
        </w:numPr>
        <w:pBdr>
          <w:top w:val="nil"/>
          <w:left w:val="nil"/>
          <w:bottom w:val="nil"/>
          <w:right w:val="nil"/>
          <w:between w:val="nil"/>
        </w:pBdr>
        <w:spacing w:after="0" w:line="240" w:lineRule="auto"/>
        <w:rPr>
          <w:color w:val="000000"/>
          <w:lang w:val="es-419"/>
        </w:rPr>
      </w:pPr>
      <w:r w:rsidRPr="005306A6">
        <w:rPr>
          <w:color w:val="000000"/>
          <w:lang w:val="es-419"/>
        </w:rPr>
        <w:t xml:space="preserve">Recopilar </w:t>
      </w:r>
      <w:r w:rsidRPr="005306A6" w:rsidR="005306A6">
        <w:rPr>
          <w:color w:val="000000"/>
          <w:lang w:val="es-419"/>
        </w:rPr>
        <w:t>buenas prácticas y herramientas prácticas para apoyar la transversalización de la PGI</w:t>
      </w:r>
    </w:p>
    <w:p w:rsidRPr="00A24FDB" w:rsidR="007B61D0" w:rsidP="005306A6" w:rsidRDefault="005F1E52" w14:paraId="0F8C5ACF" w14:textId="3741C4C9">
      <w:pPr>
        <w:numPr>
          <w:ilvl w:val="0"/>
          <w:numId w:val="2"/>
        </w:numPr>
        <w:pBdr>
          <w:top w:val="nil"/>
          <w:left w:val="nil"/>
          <w:bottom w:val="nil"/>
          <w:right w:val="nil"/>
          <w:between w:val="nil"/>
        </w:pBdr>
        <w:spacing w:after="0" w:line="240" w:lineRule="auto"/>
        <w:rPr>
          <w:color w:val="000000"/>
          <w:lang w:val="es-419"/>
        </w:rPr>
      </w:pPr>
      <w:r w:rsidRPr="005306A6">
        <w:rPr>
          <w:color w:val="000000"/>
          <w:lang w:val="es-419"/>
        </w:rPr>
        <w:t xml:space="preserve">Ayudar </w:t>
      </w:r>
      <w:r w:rsidRPr="005306A6" w:rsidR="005306A6">
        <w:rPr>
          <w:color w:val="000000"/>
          <w:lang w:val="es-419"/>
        </w:rPr>
        <w:t>a realizar evaluaciones y análisis rápidos de PGI</w:t>
      </w:r>
      <w:r w:rsidRPr="00A24FDB" w:rsidR="000C6B6A">
        <w:rPr>
          <w:color w:val="000000"/>
          <w:lang w:val="es-419"/>
        </w:rPr>
        <w:t xml:space="preserve"> </w:t>
      </w:r>
      <w:r w:rsidRPr="00A24FDB" w:rsidR="000C6B6A">
        <w:rPr>
          <w:color w:val="000000"/>
          <w:vertAlign w:val="superscript"/>
          <w:lang w:val="es-419"/>
        </w:rPr>
        <w:footnoteReference w:id="1"/>
      </w:r>
    </w:p>
    <w:p w:rsidRPr="00853645" w:rsidR="00853645" w:rsidP="00853645" w:rsidRDefault="005F1E52" w14:paraId="2D12A68C" w14:textId="1F0F6398">
      <w:pPr>
        <w:numPr>
          <w:ilvl w:val="0"/>
          <w:numId w:val="2"/>
        </w:numPr>
        <w:pBdr>
          <w:top w:val="nil"/>
          <w:left w:val="nil"/>
          <w:bottom w:val="nil"/>
          <w:right w:val="nil"/>
          <w:between w:val="nil"/>
        </w:pBdr>
        <w:spacing w:after="0" w:line="240" w:lineRule="auto"/>
        <w:rPr>
          <w:color w:val="000000"/>
          <w:lang w:val="es-419"/>
        </w:rPr>
      </w:pPr>
      <w:r w:rsidRPr="00853645">
        <w:rPr>
          <w:color w:val="000000"/>
          <w:lang w:val="es-419"/>
        </w:rPr>
        <w:t xml:space="preserve">Apoyar </w:t>
      </w:r>
      <w:r w:rsidRPr="00853645" w:rsidR="00853645">
        <w:rPr>
          <w:color w:val="000000"/>
          <w:lang w:val="es-419"/>
        </w:rPr>
        <w:t>la integración de preguntas relacionadas con la PGI en las evaluaciones sectoriales</w:t>
      </w:r>
    </w:p>
    <w:p w:rsidRPr="00A24FDB" w:rsidR="007B61D0" w:rsidP="00853645" w:rsidRDefault="005F1E52" w14:paraId="71257EB5" w14:textId="5C1B143E">
      <w:pPr>
        <w:numPr>
          <w:ilvl w:val="0"/>
          <w:numId w:val="2"/>
        </w:numPr>
        <w:pBdr>
          <w:top w:val="nil"/>
          <w:left w:val="nil"/>
          <w:bottom w:val="nil"/>
          <w:right w:val="nil"/>
          <w:between w:val="nil"/>
        </w:pBdr>
        <w:spacing w:after="0" w:line="240" w:lineRule="auto"/>
        <w:rPr>
          <w:color w:val="000000"/>
          <w:lang w:val="es-419"/>
        </w:rPr>
      </w:pPr>
      <w:r w:rsidRPr="00853645">
        <w:rPr>
          <w:color w:val="000000"/>
          <w:lang w:val="es-419"/>
        </w:rPr>
        <w:t xml:space="preserve">Proporcionar </w:t>
      </w:r>
      <w:r w:rsidRPr="00853645" w:rsidR="00853645">
        <w:rPr>
          <w:color w:val="000000"/>
          <w:lang w:val="es-419"/>
        </w:rPr>
        <w:t>claridad sobre cómo integrar el análisis de PGI en los planes de acción de emergencia o en los planes de proyecto</w:t>
      </w:r>
    </w:p>
    <w:p w:rsidRPr="00E2772A" w:rsidR="00E2772A" w:rsidP="00E2772A" w:rsidRDefault="005F1E52" w14:paraId="24E93C62" w14:textId="5D811720">
      <w:pPr>
        <w:numPr>
          <w:ilvl w:val="0"/>
          <w:numId w:val="2"/>
        </w:numPr>
        <w:pBdr>
          <w:top w:val="nil"/>
          <w:left w:val="nil"/>
          <w:bottom w:val="nil"/>
          <w:right w:val="nil"/>
          <w:between w:val="nil"/>
        </w:pBdr>
        <w:spacing w:after="0" w:line="240" w:lineRule="auto"/>
        <w:rPr>
          <w:color w:val="000000"/>
          <w:lang w:val="es-419"/>
        </w:rPr>
      </w:pPr>
      <w:r w:rsidRPr="00E2772A">
        <w:rPr>
          <w:color w:val="000000"/>
          <w:lang w:val="es-419"/>
        </w:rPr>
        <w:t xml:space="preserve">Ayudar </w:t>
      </w:r>
      <w:r w:rsidRPr="00E2772A" w:rsidR="00E2772A">
        <w:rPr>
          <w:color w:val="000000"/>
          <w:lang w:val="es-419"/>
        </w:rPr>
        <w:t>con la reco</w:t>
      </w:r>
      <w:r w:rsidR="00DF444B">
        <w:rPr>
          <w:color w:val="000000"/>
          <w:lang w:val="es-419"/>
        </w:rPr>
        <w:t xml:space="preserve">pilación de </w:t>
      </w:r>
      <w:r w:rsidRPr="00E2772A" w:rsidR="00E2772A">
        <w:rPr>
          <w:color w:val="000000"/>
          <w:lang w:val="es-419"/>
        </w:rPr>
        <w:t>datos des</w:t>
      </w:r>
      <w:r w:rsidR="00DF444B">
        <w:rPr>
          <w:color w:val="000000"/>
          <w:lang w:val="es-419"/>
        </w:rPr>
        <w:t xml:space="preserve">agregados </w:t>
      </w:r>
      <w:r w:rsidRPr="00E2772A" w:rsidR="00E2772A">
        <w:rPr>
          <w:color w:val="000000"/>
          <w:lang w:val="es-419"/>
        </w:rPr>
        <w:t>por sexo, edad y discapacidad (SADDD</w:t>
      </w:r>
      <w:r w:rsidR="00422C1B">
        <w:rPr>
          <w:color w:val="000000"/>
          <w:lang w:val="es-419"/>
        </w:rPr>
        <w:t xml:space="preserve"> por sus siglas en inglés</w:t>
      </w:r>
      <w:r w:rsidRPr="00E2772A" w:rsidR="00E2772A">
        <w:rPr>
          <w:color w:val="000000"/>
          <w:lang w:val="es-419"/>
        </w:rPr>
        <w:t>)</w:t>
      </w:r>
    </w:p>
    <w:p w:rsidRPr="00E2772A" w:rsidR="00E2772A" w:rsidP="00E2772A" w:rsidRDefault="005F1E52" w14:paraId="22BE409D" w14:textId="14674504">
      <w:pPr>
        <w:numPr>
          <w:ilvl w:val="0"/>
          <w:numId w:val="2"/>
        </w:numPr>
        <w:pBdr>
          <w:top w:val="nil"/>
          <w:left w:val="nil"/>
          <w:bottom w:val="nil"/>
          <w:right w:val="nil"/>
          <w:between w:val="nil"/>
        </w:pBdr>
        <w:spacing w:after="0" w:line="240" w:lineRule="auto"/>
        <w:rPr>
          <w:color w:val="000000"/>
          <w:lang w:val="es-419"/>
        </w:rPr>
      </w:pPr>
      <w:r w:rsidRPr="00E2772A">
        <w:rPr>
          <w:color w:val="000000"/>
          <w:lang w:val="es-419"/>
        </w:rPr>
        <w:t xml:space="preserve">Mejorar </w:t>
      </w:r>
      <w:r w:rsidRPr="00E2772A" w:rsidR="00E2772A">
        <w:rPr>
          <w:color w:val="000000"/>
          <w:lang w:val="es-419"/>
        </w:rPr>
        <w:t>el mapeo y la oferta de re</w:t>
      </w:r>
      <w:r w:rsidR="00C93D33">
        <w:rPr>
          <w:color w:val="000000"/>
          <w:lang w:val="es-419"/>
        </w:rPr>
        <w:t>misiones</w:t>
      </w:r>
      <w:r w:rsidRPr="00E2772A" w:rsidR="00E2772A">
        <w:rPr>
          <w:color w:val="000000"/>
          <w:lang w:val="es-419"/>
        </w:rPr>
        <w:t xml:space="preserve"> relacionadas con protección durante situaciones de emergencias</w:t>
      </w:r>
    </w:p>
    <w:p w:rsidRPr="00A24FDB" w:rsidR="007B61D0" w:rsidP="00E2772A" w:rsidRDefault="005F1E52" w14:paraId="0A49A7FA" w14:textId="27479A24">
      <w:pPr>
        <w:numPr>
          <w:ilvl w:val="0"/>
          <w:numId w:val="2"/>
        </w:numPr>
        <w:pBdr>
          <w:top w:val="nil"/>
          <w:left w:val="nil"/>
          <w:bottom w:val="nil"/>
          <w:right w:val="nil"/>
          <w:between w:val="nil"/>
        </w:pBdr>
        <w:spacing w:after="0" w:line="240" w:lineRule="auto"/>
        <w:rPr>
          <w:color w:val="000000"/>
          <w:lang w:val="es-419"/>
        </w:rPr>
      </w:pPr>
      <w:r w:rsidRPr="00E2772A">
        <w:rPr>
          <w:color w:val="000000"/>
          <w:lang w:val="es-419"/>
        </w:rPr>
        <w:t xml:space="preserve">Brindar </w:t>
      </w:r>
      <w:r w:rsidRPr="00E2772A" w:rsidR="00E2772A">
        <w:rPr>
          <w:color w:val="000000"/>
          <w:lang w:val="es-419"/>
        </w:rPr>
        <w:t xml:space="preserve">orientación en materia de </w:t>
      </w:r>
      <w:r w:rsidR="00DF444B">
        <w:rPr>
          <w:color w:val="000000"/>
          <w:lang w:val="es-419"/>
        </w:rPr>
        <w:t>manejo básico</w:t>
      </w:r>
      <w:r w:rsidRPr="00E2772A" w:rsidR="00E2772A">
        <w:rPr>
          <w:color w:val="000000"/>
          <w:lang w:val="es-419"/>
        </w:rPr>
        <w:t xml:space="preserve"> de casos</w:t>
      </w:r>
    </w:p>
    <w:p w:rsidRPr="00E2772A" w:rsidR="00E2772A" w:rsidP="00E2772A" w:rsidRDefault="005F1E52" w14:paraId="6B8CBC47" w14:textId="4A2DD9DF">
      <w:pPr>
        <w:numPr>
          <w:ilvl w:val="0"/>
          <w:numId w:val="2"/>
        </w:numPr>
        <w:pBdr>
          <w:top w:val="nil"/>
          <w:left w:val="nil"/>
          <w:bottom w:val="nil"/>
          <w:right w:val="nil"/>
          <w:between w:val="nil"/>
        </w:pBdr>
        <w:spacing w:after="0" w:line="240" w:lineRule="auto"/>
        <w:rPr>
          <w:color w:val="000000"/>
          <w:lang w:val="es-419"/>
        </w:rPr>
      </w:pPr>
      <w:r w:rsidRPr="00E2772A">
        <w:rPr>
          <w:color w:val="000000"/>
          <w:lang w:val="es-419"/>
        </w:rPr>
        <w:t xml:space="preserve">Brindar </w:t>
      </w:r>
      <w:r w:rsidRPr="00E2772A" w:rsidR="00E2772A">
        <w:rPr>
          <w:color w:val="000000"/>
          <w:lang w:val="es-419"/>
        </w:rPr>
        <w:t>apoyo para establecer espacios seguros (incluyendo los centrados en la comunidad</w:t>
      </w:r>
      <w:r w:rsidR="00854EDC">
        <w:rPr>
          <w:color w:val="000000"/>
          <w:lang w:val="es-419"/>
        </w:rPr>
        <w:t>,</w:t>
      </w:r>
      <w:r w:rsidRPr="00E2772A" w:rsidR="00E2772A">
        <w:rPr>
          <w:color w:val="000000"/>
          <w:lang w:val="es-419"/>
        </w:rPr>
        <w:t xml:space="preserve"> que integran principios de PGI, de Participación Comunitaria y Rendición de Cuentas a la Comunidad (CEA) y de Apoyo Psicosocial (APS)</w:t>
      </w:r>
      <w:r w:rsidR="00854EDC">
        <w:rPr>
          <w:color w:val="000000"/>
          <w:lang w:val="es-419"/>
        </w:rPr>
        <w:t>,</w:t>
      </w:r>
      <w:r w:rsidRPr="00E2772A" w:rsidR="00E2772A">
        <w:rPr>
          <w:color w:val="000000"/>
          <w:lang w:val="es-419"/>
        </w:rPr>
        <w:t xml:space="preserve"> conocidos como “Casas</w:t>
      </w:r>
      <w:r w:rsidR="00422C1B">
        <w:rPr>
          <w:color w:val="000000"/>
          <w:lang w:val="es-419"/>
        </w:rPr>
        <w:t>/Centros</w:t>
      </w:r>
      <w:r w:rsidRPr="00E2772A" w:rsidR="00E2772A">
        <w:rPr>
          <w:color w:val="000000"/>
          <w:lang w:val="es-419"/>
        </w:rPr>
        <w:t xml:space="preserve"> DAPS”)</w:t>
      </w:r>
    </w:p>
    <w:p w:rsidRPr="00E2772A" w:rsidR="00E2772A" w:rsidP="00E2772A" w:rsidRDefault="005F1E52" w14:paraId="111FED73" w14:textId="2E08F4DA">
      <w:pPr>
        <w:numPr>
          <w:ilvl w:val="0"/>
          <w:numId w:val="2"/>
        </w:numPr>
        <w:pBdr>
          <w:top w:val="nil"/>
          <w:left w:val="nil"/>
          <w:bottom w:val="nil"/>
          <w:right w:val="nil"/>
          <w:between w:val="nil"/>
        </w:pBdr>
        <w:spacing w:after="0" w:line="240" w:lineRule="auto"/>
        <w:rPr>
          <w:color w:val="000000"/>
          <w:lang w:val="es-419"/>
        </w:rPr>
      </w:pPr>
      <w:r w:rsidRPr="00E2772A">
        <w:rPr>
          <w:color w:val="000000"/>
          <w:lang w:val="es-419"/>
        </w:rPr>
        <w:t xml:space="preserve">Ayudar </w:t>
      </w:r>
      <w:r w:rsidRPr="00E2772A" w:rsidR="00E2772A">
        <w:rPr>
          <w:color w:val="000000"/>
          <w:lang w:val="es-419"/>
        </w:rPr>
        <w:t>a monitorear la programación relacionada con PGI</w:t>
      </w:r>
    </w:p>
    <w:p w:rsidRPr="00A24FDB" w:rsidR="007B61D0" w:rsidP="00E2772A" w:rsidRDefault="005F1E52" w14:paraId="194170AC" w14:textId="0A3907AB">
      <w:pPr>
        <w:numPr>
          <w:ilvl w:val="0"/>
          <w:numId w:val="2"/>
        </w:numPr>
        <w:pBdr>
          <w:top w:val="nil"/>
          <w:left w:val="nil"/>
          <w:bottom w:val="nil"/>
          <w:right w:val="nil"/>
          <w:between w:val="nil"/>
        </w:pBdr>
        <w:spacing w:after="0" w:line="240" w:lineRule="auto"/>
        <w:rPr>
          <w:color w:val="000000"/>
          <w:lang w:val="es-419"/>
        </w:rPr>
      </w:pPr>
      <w:r w:rsidRPr="00E2772A">
        <w:rPr>
          <w:color w:val="000000"/>
          <w:lang w:val="es-419"/>
        </w:rPr>
        <w:t xml:space="preserve">Apoyar </w:t>
      </w:r>
      <w:r w:rsidRPr="00E2772A" w:rsidR="00E2772A">
        <w:rPr>
          <w:color w:val="000000"/>
          <w:lang w:val="es-419"/>
        </w:rPr>
        <w:t>la integración de la PGI en todos los pasos de los ciclos de los proyectos</w:t>
      </w:r>
      <w:r w:rsidRPr="00A24FDB" w:rsidR="000C6B6A">
        <w:rPr>
          <w:color w:val="000000"/>
          <w:lang w:val="es-419"/>
        </w:rPr>
        <w:t>.</w:t>
      </w:r>
    </w:p>
    <w:p w:rsidRPr="00A24FDB" w:rsidR="007B61D0" w:rsidRDefault="007B61D0" w14:paraId="7E8C47C7" w14:textId="77777777">
      <w:pPr>
        <w:rPr>
          <w:lang w:val="es-419"/>
        </w:rPr>
      </w:pPr>
    </w:p>
    <w:p w:rsidRPr="00A24FDB" w:rsidR="007B61D0" w:rsidP="00422C1B" w:rsidRDefault="00AF1BF5" w14:paraId="66AAA091" w14:textId="5676A661">
      <w:pPr>
        <w:jc w:val="both"/>
        <w:rPr>
          <w:lang w:val="es-419"/>
        </w:rPr>
      </w:pPr>
      <w:r w:rsidRPr="00AF1BF5">
        <w:rPr>
          <w:lang w:val="es-419"/>
        </w:rPr>
        <w:t>Además, esta herramienta apoya la integración de las Normas de PGI en la transición desde la respuesta ha</w:t>
      </w:r>
      <w:r w:rsidR="00854EDC">
        <w:rPr>
          <w:lang w:val="es-419"/>
        </w:rPr>
        <w:t xml:space="preserve">cia </w:t>
      </w:r>
      <w:r w:rsidRPr="00AF1BF5">
        <w:rPr>
          <w:lang w:val="es-419"/>
        </w:rPr>
        <w:t>la recuperación. El desarrollo de resiliencia y la recuperación comienzan al inicio de una respuesta de emergencia, y este kit de herramientas es pertinente para la planificación e implementación de la recuperación</w:t>
      </w:r>
      <w:r w:rsidRPr="00A24FDB" w:rsidR="000C6B6A">
        <w:rPr>
          <w:lang w:val="es-419"/>
        </w:rPr>
        <w:t xml:space="preserve">. </w:t>
      </w:r>
      <w:r w:rsidRPr="002F37B5" w:rsidR="002F37B5">
        <w:rPr>
          <w:lang w:val="es-419"/>
        </w:rPr>
        <w:t>Las herramientas que están "listas para usarse" para la recuperación están marcadas como tales, y también se indica cuando estas requieren desde una ligera adaptación hasta un desarrollo a más largo plazo (ver Tabla 1.1: Contenido)</w:t>
      </w:r>
      <w:r w:rsidRPr="00A24FDB" w:rsidR="000C6B6A">
        <w:rPr>
          <w:lang w:val="es-419"/>
        </w:rPr>
        <w:t>.</w:t>
      </w:r>
    </w:p>
    <w:p w:rsidRPr="00A24FDB" w:rsidR="007B61D0" w:rsidP="00422C1B" w:rsidRDefault="002F37B5" w14:paraId="3ADEBD82" w14:textId="5DCF36E1">
      <w:pPr>
        <w:jc w:val="both"/>
        <w:rPr>
          <w:lang w:val="es-419"/>
        </w:rPr>
      </w:pPr>
      <w:r w:rsidRPr="002F37B5">
        <w:rPr>
          <w:lang w:val="es-419"/>
        </w:rPr>
        <w:t>No se pretende que todas las herramientas se usen en cada emergencia, más bien se trata de un compendio de herramientas a las que se pued</w:t>
      </w:r>
      <w:r w:rsidR="00854EDC">
        <w:rPr>
          <w:lang w:val="es-419"/>
        </w:rPr>
        <w:t>e</w:t>
      </w:r>
      <w:r w:rsidRPr="002F37B5">
        <w:rPr>
          <w:lang w:val="es-419"/>
        </w:rPr>
        <w:t xml:space="preserve"> recurrir y adaptar cuando sea necesario</w:t>
      </w:r>
      <w:r w:rsidRPr="00A24FDB" w:rsidR="000C6B6A">
        <w:rPr>
          <w:lang w:val="es-419"/>
        </w:rPr>
        <w:t>.</w:t>
      </w:r>
    </w:p>
    <w:p w:rsidRPr="00A24FDB" w:rsidR="007B61D0" w:rsidRDefault="007B61D0" w14:paraId="0E18EE1C" w14:textId="77777777">
      <w:pPr>
        <w:rPr>
          <w:lang w:val="es-419"/>
        </w:rPr>
      </w:pPr>
    </w:p>
    <w:p w:rsidRPr="00A24FDB" w:rsidR="007B61D0" w:rsidRDefault="002F37B5" w14:paraId="6D735F64" w14:textId="56AECCB7">
      <w:pPr>
        <w:rPr>
          <w:b/>
          <w:lang w:val="es-419"/>
        </w:rPr>
      </w:pPr>
      <w:r w:rsidRPr="002F37B5">
        <w:rPr>
          <w:b/>
          <w:lang w:val="es-419"/>
        </w:rPr>
        <w:t>¿Por qué implementar normas mínimas de protección, género e inclusión en emergencias</w:t>
      </w:r>
      <w:r w:rsidRPr="00A24FDB" w:rsidR="000C6B6A">
        <w:rPr>
          <w:b/>
          <w:lang w:val="es-419"/>
        </w:rPr>
        <w:t>?</w:t>
      </w:r>
    </w:p>
    <w:p w:rsidRPr="00A24FDB" w:rsidR="007B61D0" w:rsidP="00CC4CE8" w:rsidRDefault="000756B2" w14:paraId="7E1F7A82" w14:textId="1EEF726E">
      <w:pPr>
        <w:jc w:val="both"/>
        <w:rPr>
          <w:lang w:val="es-419"/>
        </w:rPr>
      </w:pPr>
      <w:r w:rsidRPr="000756B2">
        <w:rPr>
          <w:lang w:val="es-419"/>
        </w:rPr>
        <w:t>Las emergencias exacerban las desigualdades de género existentes</w:t>
      </w:r>
      <w:r w:rsidR="008D689B">
        <w:rPr>
          <w:lang w:val="es-419"/>
        </w:rPr>
        <w:t xml:space="preserve">. Además, </w:t>
      </w:r>
      <w:r w:rsidRPr="00DF444B" w:rsidR="00DF444B">
        <w:rPr>
          <w:lang w:val="es-419"/>
        </w:rPr>
        <w:t>durante y después de las emergencias</w:t>
      </w:r>
      <w:r w:rsidR="00DF444B">
        <w:rPr>
          <w:lang w:val="es-419"/>
        </w:rPr>
        <w:t>,</w:t>
      </w:r>
      <w:r w:rsidRPr="00DF444B" w:rsidR="00DF444B">
        <w:rPr>
          <w:lang w:val="es-419"/>
        </w:rPr>
        <w:t xml:space="preserve"> </w:t>
      </w:r>
      <w:r w:rsidR="008D689B">
        <w:rPr>
          <w:lang w:val="es-419"/>
        </w:rPr>
        <w:t>frecuentemente</w:t>
      </w:r>
      <w:r w:rsidRPr="000756B2">
        <w:rPr>
          <w:lang w:val="es-419"/>
        </w:rPr>
        <w:t xml:space="preserve"> aumenta la incidencia de violencia </w:t>
      </w:r>
      <w:r w:rsidR="00CC4CE8">
        <w:rPr>
          <w:lang w:val="es-419"/>
        </w:rPr>
        <w:t>basada en género</w:t>
      </w:r>
      <w:r w:rsidRPr="000756B2">
        <w:rPr>
          <w:lang w:val="es-419"/>
        </w:rPr>
        <w:t xml:space="preserve"> (V</w:t>
      </w:r>
      <w:r w:rsidR="00CC4CE8">
        <w:rPr>
          <w:lang w:val="es-419"/>
        </w:rPr>
        <w:t>B</w:t>
      </w:r>
      <w:r w:rsidRPr="000756B2">
        <w:rPr>
          <w:lang w:val="es-419"/>
        </w:rPr>
        <w:t>G), la violencia contra los niños</w:t>
      </w:r>
      <w:r w:rsidR="00CC4CE8">
        <w:rPr>
          <w:lang w:val="es-419"/>
        </w:rPr>
        <w:t xml:space="preserve"> y las niñas</w:t>
      </w:r>
      <w:r w:rsidRPr="000756B2">
        <w:rPr>
          <w:lang w:val="es-419"/>
        </w:rPr>
        <w:t xml:space="preserve"> y la trata de seres humanos</w:t>
      </w:r>
      <w:r w:rsidRPr="00A24FDB" w:rsidR="000C6B6A">
        <w:rPr>
          <w:lang w:val="es-419"/>
        </w:rPr>
        <w:t xml:space="preserve">. </w:t>
      </w:r>
      <w:r w:rsidRPr="000756B2">
        <w:rPr>
          <w:lang w:val="es-419"/>
        </w:rPr>
        <w:t xml:space="preserve">El sexo y la identidad de género de las personas, así como otros factores como la edad, la discapacidad, la orientación sexual, el estado de salud </w:t>
      </w:r>
      <w:r w:rsidR="008D689B">
        <w:rPr>
          <w:lang w:val="es-419"/>
        </w:rPr>
        <w:t>(</w:t>
      </w:r>
      <w:r w:rsidRPr="000756B2">
        <w:rPr>
          <w:lang w:val="es-419"/>
        </w:rPr>
        <w:t>incluyendo el VIH/SIDA y otras enfermedades crónicas</w:t>
      </w:r>
      <w:r w:rsidR="00045F20">
        <w:rPr>
          <w:lang w:val="es-419"/>
        </w:rPr>
        <w:t>)</w:t>
      </w:r>
      <w:r w:rsidRPr="000756B2">
        <w:rPr>
          <w:lang w:val="es-419"/>
        </w:rPr>
        <w:t>, el nivel social, la migración y/o el est</w:t>
      </w:r>
      <w:r w:rsidR="00DF444B">
        <w:rPr>
          <w:lang w:val="es-419"/>
        </w:rPr>
        <w:t>atus</w:t>
      </w:r>
      <w:r w:rsidRPr="000756B2">
        <w:rPr>
          <w:lang w:val="es-419"/>
        </w:rPr>
        <w:t xml:space="preserve"> legal, el origen étnico y la fe y la nacionalidad (o la falta de la misma), determinan la medida en que esas personas son vulnerables a, son afectadas por, responden a y se recuperan de</w:t>
      </w:r>
      <w:r w:rsidR="00045F20">
        <w:rPr>
          <w:lang w:val="es-419"/>
        </w:rPr>
        <w:t>,</w:t>
      </w:r>
      <w:r w:rsidRPr="000756B2">
        <w:rPr>
          <w:lang w:val="es-419"/>
        </w:rPr>
        <w:t xml:space="preserve"> las emergencias</w:t>
      </w:r>
      <w:r w:rsidRPr="00A24FDB" w:rsidR="000C6B6A">
        <w:rPr>
          <w:lang w:val="es-419"/>
        </w:rPr>
        <w:t>.</w:t>
      </w:r>
    </w:p>
    <w:p w:rsidRPr="00A24FDB" w:rsidR="007B61D0" w:rsidP="00F15A32" w:rsidRDefault="00FA5520" w14:paraId="18ABBEBF" w14:textId="087BFD21">
      <w:pPr>
        <w:jc w:val="both"/>
        <w:rPr>
          <w:lang w:val="es-419"/>
        </w:rPr>
      </w:pPr>
      <w:r w:rsidRPr="00FA5520">
        <w:rPr>
          <w:lang w:val="es-419"/>
        </w:rPr>
        <w:t xml:space="preserve">Estas diferencias también son fuente de fortalezas, </w:t>
      </w:r>
      <w:r w:rsidR="00045F20">
        <w:rPr>
          <w:lang w:val="es-419"/>
        </w:rPr>
        <w:t xml:space="preserve">y </w:t>
      </w:r>
      <w:r w:rsidRPr="00FA5520">
        <w:rPr>
          <w:lang w:val="es-419"/>
        </w:rPr>
        <w:t>deben ser reconocidas e incorporadas en todos los esfuerzos de preparación, prevención, respuesta, reconstrucción y recuperación ante emergencias para así construir sociedades resilientes</w:t>
      </w:r>
      <w:r w:rsidRPr="00A24FDB" w:rsidR="000C6B6A">
        <w:rPr>
          <w:lang w:val="es-419"/>
        </w:rPr>
        <w:t>.</w:t>
      </w:r>
    </w:p>
    <w:p w:rsidRPr="00A24FDB" w:rsidR="007B61D0" w:rsidRDefault="00A24FDB" w14:paraId="0FC1600F" w14:textId="39BF8F4F">
      <w:pPr>
        <w:rPr>
          <w:lang w:val="es-419"/>
        </w:rPr>
      </w:pPr>
      <w:r w:rsidRPr="00A24FDB">
        <w:rPr>
          <w:noProof/>
          <w:lang w:val="es-419"/>
        </w:rPr>
        <mc:AlternateContent>
          <mc:Choice Requires="wps">
            <w:drawing>
              <wp:anchor distT="0" distB="0" distL="114300" distR="114300" simplePos="0" relativeHeight="251658240" behindDoc="0" locked="0" layoutInCell="1" hidden="0" allowOverlap="1" wp14:anchorId="0E2E312E" wp14:editId="182622DA">
                <wp:simplePos x="0" y="0"/>
                <wp:positionH relativeFrom="column">
                  <wp:posOffset>7315</wp:posOffset>
                </wp:positionH>
                <wp:positionV relativeFrom="paragraph">
                  <wp:posOffset>73838</wp:posOffset>
                </wp:positionV>
                <wp:extent cx="5715000" cy="2136038"/>
                <wp:effectExtent l="0" t="0" r="19050" b="17145"/>
                <wp:wrapNone/>
                <wp:docPr id="8" name="Rectangle 8"/>
                <wp:cNvGraphicFramePr/>
                <a:graphic xmlns:a="http://schemas.openxmlformats.org/drawingml/2006/main">
                  <a:graphicData uri="http://schemas.microsoft.com/office/word/2010/wordprocessingShape">
                    <wps:wsp>
                      <wps:cNvSpPr/>
                      <wps:spPr>
                        <a:xfrm>
                          <a:off x="0" y="0"/>
                          <a:ext cx="5715000" cy="2136038"/>
                        </a:xfrm>
                        <a:prstGeom prst="rect">
                          <a:avLst/>
                        </a:prstGeom>
                        <a:solidFill>
                          <a:schemeClr val="lt1"/>
                        </a:solidFill>
                        <a:ln w="9525" cap="flat" cmpd="sng">
                          <a:solidFill>
                            <a:srgbClr val="000000"/>
                          </a:solidFill>
                          <a:prstDash val="solid"/>
                          <a:round/>
                          <a:headEnd type="none" w="sm" len="sm"/>
                          <a:tailEnd type="none" w="sm" len="sm"/>
                        </a:ln>
                      </wps:spPr>
                      <wps:txbx>
                        <w:txbxContent>
                          <w:p w:rsidRPr="00FA5520" w:rsidR="007B61D0" w:rsidRDefault="00FA5520" w14:paraId="54C5BAB1" w14:textId="1DD0BE14">
                            <w:pPr>
                              <w:spacing w:line="258" w:lineRule="auto"/>
                              <w:textDirection w:val="btLr"/>
                              <w:rPr>
                                <w:lang w:val="es-419"/>
                              </w:rPr>
                            </w:pPr>
                            <w:r w:rsidRPr="00FA5520">
                              <w:rPr>
                                <w:color w:val="000000"/>
                                <w:lang w:val="es-419"/>
                              </w:rPr>
                              <w:t xml:space="preserve">La PGI es una prioridad clave para la FICR y para sus miembros. Hay dos enfoques clave para la integración de la PGI en </w:t>
                            </w:r>
                            <w:r w:rsidR="00E35CCA">
                              <w:rPr>
                                <w:color w:val="000000"/>
                                <w:lang w:val="es-419"/>
                              </w:rPr>
                              <w:t>la</w:t>
                            </w:r>
                            <w:r w:rsidRPr="00FA5520">
                              <w:rPr>
                                <w:color w:val="000000"/>
                                <w:lang w:val="es-419"/>
                              </w:rPr>
                              <w:t>s</w:t>
                            </w:r>
                            <w:r w:rsidR="00E35CCA">
                              <w:rPr>
                                <w:color w:val="000000"/>
                                <w:lang w:val="es-419"/>
                              </w:rPr>
                              <w:t xml:space="preserve"> situaciones</w:t>
                            </w:r>
                            <w:r w:rsidRPr="00FA5520">
                              <w:rPr>
                                <w:color w:val="000000"/>
                                <w:lang w:val="es-419"/>
                              </w:rPr>
                              <w:t xml:space="preserve"> de emergencia y en la recuperación, y ambos son apoyados en este kit de herramientas</w:t>
                            </w:r>
                            <w:r w:rsidRPr="00FA5520" w:rsidR="000C6B6A">
                              <w:rPr>
                                <w:color w:val="000000"/>
                                <w:lang w:val="es-419"/>
                              </w:rPr>
                              <w:t>:</w:t>
                            </w:r>
                          </w:p>
                          <w:p w:rsidRPr="00FA5520" w:rsidR="007B61D0" w:rsidP="00FA5520" w:rsidRDefault="00FA5520" w14:paraId="4097F49D" w14:textId="6D8C7590">
                            <w:pPr>
                              <w:spacing w:after="0" w:line="240" w:lineRule="auto"/>
                              <w:ind w:left="360" w:right="332" w:firstLine="360"/>
                              <w:textDirection w:val="btLr"/>
                              <w:rPr>
                                <w:lang w:val="es-419"/>
                              </w:rPr>
                            </w:pPr>
                            <w:r>
                              <w:rPr>
                                <w:b/>
                                <w:color w:val="000000"/>
                                <w:lang w:val="es-419"/>
                              </w:rPr>
                              <w:t xml:space="preserve">La transversalización de la </w:t>
                            </w:r>
                            <w:r w:rsidRPr="00FA5520" w:rsidR="000C6B6A">
                              <w:rPr>
                                <w:b/>
                                <w:color w:val="000000"/>
                                <w:lang w:val="es-419"/>
                              </w:rPr>
                              <w:t xml:space="preserve">PGI </w:t>
                            </w:r>
                            <w:r>
                              <w:rPr>
                                <w:b/>
                                <w:color w:val="000000"/>
                                <w:lang w:val="es-419"/>
                              </w:rPr>
                              <w:t>en todos los sectores</w:t>
                            </w:r>
                            <w:r w:rsidRPr="00FA5520" w:rsidR="000C6B6A">
                              <w:rPr>
                                <w:color w:val="000000"/>
                                <w:lang w:val="es-419"/>
                              </w:rPr>
                              <w:t xml:space="preserve">, </w:t>
                            </w:r>
                            <w:r w:rsidRPr="00FA5520">
                              <w:rPr>
                                <w:color w:val="000000"/>
                                <w:lang w:val="es-419"/>
                              </w:rPr>
                              <w:t>que puede abarcar desde la integración eficaz de temas de PGI en los llama</w:t>
                            </w:r>
                            <w:r w:rsidR="006867DD">
                              <w:rPr>
                                <w:color w:val="000000"/>
                                <w:lang w:val="es-419"/>
                              </w:rPr>
                              <w:t xml:space="preserve">dos </w:t>
                            </w:r>
                            <w:r w:rsidRPr="00FA5520">
                              <w:rPr>
                                <w:color w:val="000000"/>
                                <w:lang w:val="es-419"/>
                              </w:rPr>
                              <w:t>a la acción de emergencia (</w:t>
                            </w:r>
                            <w:proofErr w:type="spellStart"/>
                            <w:r w:rsidRPr="00FA5520">
                              <w:rPr>
                                <w:color w:val="000000"/>
                                <w:lang w:val="es-419"/>
                              </w:rPr>
                              <w:t>PdAE</w:t>
                            </w:r>
                            <w:proofErr w:type="spellEnd"/>
                            <w:r w:rsidR="00F15A32">
                              <w:rPr>
                                <w:color w:val="000000"/>
                                <w:lang w:val="es-419"/>
                              </w:rPr>
                              <w:t>/EPoA</w:t>
                            </w:r>
                            <w:r w:rsidRPr="00FA5520">
                              <w:rPr>
                                <w:color w:val="000000"/>
                                <w:lang w:val="es-419"/>
                              </w:rPr>
                              <w:t>) hasta garantizar que las mujeres y las niñas tengan acceso a recursos seguros para el manejo de la higiene menstrual durante las situaciones de emergencia</w:t>
                            </w:r>
                            <w:r w:rsidRPr="00FA5520" w:rsidR="000C6B6A">
                              <w:rPr>
                                <w:color w:val="000000"/>
                                <w:lang w:val="es-419"/>
                              </w:rPr>
                              <w:t>.</w:t>
                            </w:r>
                          </w:p>
                          <w:p w:rsidRPr="00FA5520" w:rsidR="007B61D0" w:rsidP="00FA5520" w:rsidRDefault="006867DD" w14:paraId="208FFC7C" w14:textId="165A45AB">
                            <w:pPr>
                              <w:spacing w:after="0" w:line="240" w:lineRule="auto"/>
                              <w:ind w:left="360" w:right="332" w:firstLine="360"/>
                              <w:textDirection w:val="btLr"/>
                              <w:rPr>
                                <w:lang w:val="es-419"/>
                              </w:rPr>
                            </w:pPr>
                            <w:r w:rsidRPr="006867DD">
                              <w:rPr>
                                <w:b/>
                                <w:color w:val="000000"/>
                                <w:lang w:val="es-ES"/>
                              </w:rPr>
                              <w:t>Actividades especializadas (independientes)</w:t>
                            </w:r>
                            <w:r w:rsidRPr="00FA5520" w:rsidR="000C6B6A">
                              <w:rPr>
                                <w:color w:val="000000"/>
                                <w:lang w:val="es-419"/>
                              </w:rPr>
                              <w:t xml:space="preserve"> </w:t>
                            </w:r>
                            <w:r w:rsidRPr="006867DD">
                              <w:rPr>
                                <w:color w:val="000000"/>
                                <w:lang w:val="es-419"/>
                              </w:rPr>
                              <w:t>cuyo objetivo es</w:t>
                            </w:r>
                            <w:r w:rsidR="00E35CCA">
                              <w:rPr>
                                <w:color w:val="000000"/>
                                <w:lang w:val="es-419"/>
                              </w:rPr>
                              <w:t xml:space="preserve"> la protección y la inclusión de </w:t>
                            </w:r>
                            <w:r w:rsidRPr="006867DD">
                              <w:rPr>
                                <w:color w:val="000000"/>
                                <w:lang w:val="es-419"/>
                              </w:rPr>
                              <w:t>las personas, tales como la protección de la infancia, la prevención y respuesta a la</w:t>
                            </w:r>
                            <w:r w:rsidR="00F15A32">
                              <w:rPr>
                                <w:color w:val="000000"/>
                                <w:lang w:val="es-419"/>
                              </w:rPr>
                              <w:t xml:space="preserve"> violencia basada en</w:t>
                            </w:r>
                            <w:r w:rsidRPr="006867DD">
                              <w:rPr>
                                <w:color w:val="000000"/>
                                <w:lang w:val="es-419"/>
                              </w:rPr>
                              <w:t xml:space="preserve"> género (V</w:t>
                            </w:r>
                            <w:r w:rsidR="00F15A32">
                              <w:rPr>
                                <w:color w:val="000000"/>
                                <w:lang w:val="es-419"/>
                              </w:rPr>
                              <w:t>B</w:t>
                            </w:r>
                            <w:r w:rsidRPr="006867DD">
                              <w:rPr>
                                <w:color w:val="000000"/>
                                <w:lang w:val="es-419"/>
                              </w:rPr>
                              <w:t>G) y las iniciativas contra la trata de personas</w:t>
                            </w:r>
                            <w:r w:rsidRPr="00FA5520" w:rsidR="000C6B6A">
                              <w:rPr>
                                <w:color w:val="000000"/>
                                <w:lang w:val="es-419"/>
                              </w:rPr>
                              <w:t>.</w:t>
                            </w:r>
                          </w:p>
                          <w:p w:rsidRPr="005F1E52" w:rsidR="007B61D0" w:rsidRDefault="007B61D0" w14:paraId="4ED5E588" w14:textId="77777777">
                            <w:pPr>
                              <w:spacing w:line="258" w:lineRule="auto"/>
                              <w:textDirection w:val="btLr"/>
                              <w:rPr>
                                <w:lang w:val="es-PE"/>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margin-left:.6pt;margin-top:5.8pt;width:450pt;height:168.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w14:anchorId="0E2E3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">
                <v:stroke joinstyle="round" startarrowwidth="narrow" startarrowlength="short" endarrowwidth="narrow" endarrowlength="short"/>
                <v:textbox inset="2.53958mm,1.2694mm,2.53958mm,1.2694mm">
                  <w:txbxContent>
                    <w:p w:rsidRPr="00FA5520" w:rsidR="007B61D0" w:rsidRDefault="00FA5520" w14:paraId="54C5BAB1" w14:textId="1DD0BE14">
                      <w:pPr>
                        <w:spacing w:line="258" w:lineRule="auto"/>
                        <w:textDirection w:val="btLr"/>
                        <w:rPr>
                          <w:lang w:val="es-419"/>
                        </w:rPr>
                      </w:pPr>
                      <w:r w:rsidRPr="00FA5520">
                        <w:rPr>
                          <w:color w:val="000000"/>
                          <w:lang w:val="es-419"/>
                        </w:rPr>
                        <w:t xml:space="preserve">La PGI es una prioridad clave para la FICR y para sus miembros. Hay dos enfoques clave para la integración de la PGI en </w:t>
                      </w:r>
                      <w:r w:rsidR="00E35CCA">
                        <w:rPr>
                          <w:color w:val="000000"/>
                          <w:lang w:val="es-419"/>
                        </w:rPr>
                        <w:t>la</w:t>
                      </w:r>
                      <w:r w:rsidRPr="00FA5520">
                        <w:rPr>
                          <w:color w:val="000000"/>
                          <w:lang w:val="es-419"/>
                        </w:rPr>
                        <w:t>s</w:t>
                      </w:r>
                      <w:r w:rsidR="00E35CCA">
                        <w:rPr>
                          <w:color w:val="000000"/>
                          <w:lang w:val="es-419"/>
                        </w:rPr>
                        <w:t xml:space="preserve"> situaciones</w:t>
                      </w:r>
                      <w:r w:rsidRPr="00FA5520">
                        <w:rPr>
                          <w:color w:val="000000"/>
                          <w:lang w:val="es-419"/>
                        </w:rPr>
                        <w:t xml:space="preserve"> de emergencia y en la recuperación, y ambos son apoyados en este kit de herramientas</w:t>
                      </w:r>
                      <w:r w:rsidRPr="00FA5520" w:rsidR="000C6B6A">
                        <w:rPr>
                          <w:color w:val="000000"/>
                          <w:lang w:val="es-419"/>
                        </w:rPr>
                        <w:t>:</w:t>
                      </w:r>
                    </w:p>
                    <w:p w:rsidRPr="00FA5520" w:rsidR="007B61D0" w:rsidP="00FA5520" w:rsidRDefault="00FA5520" w14:paraId="4097F49D" w14:textId="6D8C7590">
                      <w:pPr>
                        <w:spacing w:after="0" w:line="240" w:lineRule="auto"/>
                        <w:ind w:left="360" w:right="332" w:firstLine="360"/>
                        <w:textDirection w:val="btLr"/>
                        <w:rPr>
                          <w:lang w:val="es-419"/>
                        </w:rPr>
                      </w:pPr>
                      <w:r>
                        <w:rPr>
                          <w:b/>
                          <w:color w:val="000000"/>
                          <w:lang w:val="es-419"/>
                        </w:rPr>
                        <w:t xml:space="preserve">La transversalización de la </w:t>
                      </w:r>
                      <w:r w:rsidRPr="00FA5520" w:rsidR="000C6B6A">
                        <w:rPr>
                          <w:b/>
                          <w:color w:val="000000"/>
                          <w:lang w:val="es-419"/>
                        </w:rPr>
                        <w:t xml:space="preserve">PGI </w:t>
                      </w:r>
                      <w:r>
                        <w:rPr>
                          <w:b/>
                          <w:color w:val="000000"/>
                          <w:lang w:val="es-419"/>
                        </w:rPr>
                        <w:t>en todos los sectores</w:t>
                      </w:r>
                      <w:r w:rsidRPr="00FA5520" w:rsidR="000C6B6A">
                        <w:rPr>
                          <w:color w:val="000000"/>
                          <w:lang w:val="es-419"/>
                        </w:rPr>
                        <w:t xml:space="preserve">, </w:t>
                      </w:r>
                      <w:r w:rsidRPr="00FA5520">
                        <w:rPr>
                          <w:color w:val="000000"/>
                          <w:lang w:val="es-419"/>
                        </w:rPr>
                        <w:t>que puede abarcar desde la integración eficaz de temas de PGI en los llama</w:t>
                      </w:r>
                      <w:r w:rsidR="006867DD">
                        <w:rPr>
                          <w:color w:val="000000"/>
                          <w:lang w:val="es-419"/>
                        </w:rPr>
                        <w:t xml:space="preserve">dos </w:t>
                      </w:r>
                      <w:r w:rsidRPr="00FA5520">
                        <w:rPr>
                          <w:color w:val="000000"/>
                          <w:lang w:val="es-419"/>
                        </w:rPr>
                        <w:t>a la acción de emergencia (</w:t>
                      </w:r>
                      <w:proofErr w:type="spellStart"/>
                      <w:r w:rsidRPr="00FA5520">
                        <w:rPr>
                          <w:color w:val="000000"/>
                          <w:lang w:val="es-419"/>
                        </w:rPr>
                        <w:t>PdAE</w:t>
                      </w:r>
                      <w:proofErr w:type="spellEnd"/>
                      <w:r w:rsidR="00F15A32">
                        <w:rPr>
                          <w:color w:val="000000"/>
                          <w:lang w:val="es-419"/>
                        </w:rPr>
                        <w:t>/EPoA</w:t>
                      </w:r>
                      <w:r w:rsidRPr="00FA5520">
                        <w:rPr>
                          <w:color w:val="000000"/>
                          <w:lang w:val="es-419"/>
                        </w:rPr>
                        <w:t>) hasta garantizar que las mujeres y las niñas tengan acceso a recursos seguros para el manejo de la higiene menstrual durante las situaciones de emergencia</w:t>
                      </w:r>
                      <w:r w:rsidRPr="00FA5520" w:rsidR="000C6B6A">
                        <w:rPr>
                          <w:color w:val="000000"/>
                          <w:lang w:val="es-419"/>
                        </w:rPr>
                        <w:t>.</w:t>
                      </w:r>
                    </w:p>
                    <w:p w:rsidRPr="00FA5520" w:rsidR="007B61D0" w:rsidP="00FA5520" w:rsidRDefault="006867DD" w14:paraId="208FFC7C" w14:textId="165A45AB">
                      <w:pPr>
                        <w:spacing w:after="0" w:line="240" w:lineRule="auto"/>
                        <w:ind w:left="360" w:right="332" w:firstLine="360"/>
                        <w:textDirection w:val="btLr"/>
                        <w:rPr>
                          <w:lang w:val="es-419"/>
                        </w:rPr>
                      </w:pPr>
                      <w:r w:rsidRPr="006867DD">
                        <w:rPr>
                          <w:b/>
                          <w:color w:val="000000"/>
                          <w:lang w:val="es-ES"/>
                        </w:rPr>
                        <w:t>Actividades especializadas (independientes)</w:t>
                      </w:r>
                      <w:r w:rsidRPr="00FA5520" w:rsidR="000C6B6A">
                        <w:rPr>
                          <w:color w:val="000000"/>
                          <w:lang w:val="es-419"/>
                        </w:rPr>
                        <w:t xml:space="preserve"> </w:t>
                      </w:r>
                      <w:r w:rsidRPr="006867DD">
                        <w:rPr>
                          <w:color w:val="000000"/>
                          <w:lang w:val="es-419"/>
                        </w:rPr>
                        <w:t>cuyo objetivo es</w:t>
                      </w:r>
                      <w:r w:rsidR="00E35CCA">
                        <w:rPr>
                          <w:color w:val="000000"/>
                          <w:lang w:val="es-419"/>
                        </w:rPr>
                        <w:t xml:space="preserve"> la protección y la inclusión de </w:t>
                      </w:r>
                      <w:r w:rsidRPr="006867DD">
                        <w:rPr>
                          <w:color w:val="000000"/>
                          <w:lang w:val="es-419"/>
                        </w:rPr>
                        <w:t>las personas, tales como la protección de la infancia, la prevención y respuesta a la</w:t>
                      </w:r>
                      <w:r w:rsidR="00F15A32">
                        <w:rPr>
                          <w:color w:val="000000"/>
                          <w:lang w:val="es-419"/>
                        </w:rPr>
                        <w:t xml:space="preserve"> violencia basada en</w:t>
                      </w:r>
                      <w:r w:rsidRPr="006867DD">
                        <w:rPr>
                          <w:color w:val="000000"/>
                          <w:lang w:val="es-419"/>
                        </w:rPr>
                        <w:t xml:space="preserve"> género (V</w:t>
                      </w:r>
                      <w:r w:rsidR="00F15A32">
                        <w:rPr>
                          <w:color w:val="000000"/>
                          <w:lang w:val="es-419"/>
                        </w:rPr>
                        <w:t>B</w:t>
                      </w:r>
                      <w:r w:rsidRPr="006867DD">
                        <w:rPr>
                          <w:color w:val="000000"/>
                          <w:lang w:val="es-419"/>
                        </w:rPr>
                        <w:t>G) y las iniciativas contra la trata de personas</w:t>
                      </w:r>
                      <w:r w:rsidRPr="00FA5520" w:rsidR="000C6B6A">
                        <w:rPr>
                          <w:color w:val="000000"/>
                          <w:lang w:val="es-419"/>
                        </w:rPr>
                        <w:t>.</w:t>
                      </w:r>
                    </w:p>
                    <w:p w:rsidRPr="005F1E52" w:rsidR="007B61D0" w:rsidRDefault="007B61D0" w14:paraId="4ED5E588" w14:textId="77777777">
                      <w:pPr>
                        <w:spacing w:line="258" w:lineRule="auto"/>
                        <w:textDirection w:val="btLr"/>
                        <w:rPr>
                          <w:lang w:val="es-PE"/>
                        </w:rPr>
                      </w:pPr>
                    </w:p>
                  </w:txbxContent>
                </v:textbox>
              </v:rect>
            </w:pict>
          </mc:Fallback>
        </mc:AlternateContent>
      </w:r>
    </w:p>
    <w:p w:rsidRPr="00A24FDB" w:rsidR="007B61D0" w:rsidRDefault="007B61D0" w14:paraId="088EDB8C" w14:textId="77777777">
      <w:pPr>
        <w:pBdr>
          <w:top w:val="nil"/>
          <w:left w:val="nil"/>
          <w:bottom w:val="nil"/>
          <w:right w:val="nil"/>
          <w:between w:val="nil"/>
        </w:pBdr>
        <w:spacing w:after="0" w:line="240" w:lineRule="auto"/>
        <w:ind w:left="720"/>
        <w:rPr>
          <w:color w:val="000000"/>
          <w:lang w:val="es-419"/>
        </w:rPr>
      </w:pPr>
    </w:p>
    <w:p w:rsidRPr="00A24FDB" w:rsidR="007B61D0" w:rsidRDefault="007B61D0" w14:paraId="6B8930E5" w14:textId="77777777">
      <w:pPr>
        <w:pBdr>
          <w:top w:val="nil"/>
          <w:left w:val="nil"/>
          <w:bottom w:val="nil"/>
          <w:right w:val="nil"/>
          <w:between w:val="nil"/>
        </w:pBdr>
        <w:spacing w:after="0" w:line="240" w:lineRule="auto"/>
        <w:ind w:left="720"/>
        <w:rPr>
          <w:color w:val="000000"/>
          <w:lang w:val="es-419"/>
        </w:rPr>
      </w:pPr>
    </w:p>
    <w:p w:rsidRPr="00A24FDB" w:rsidR="007B61D0" w:rsidRDefault="007B61D0" w14:paraId="0925B363" w14:textId="77777777">
      <w:pPr>
        <w:pBdr>
          <w:top w:val="nil"/>
          <w:left w:val="nil"/>
          <w:bottom w:val="nil"/>
          <w:right w:val="nil"/>
          <w:between w:val="nil"/>
        </w:pBdr>
        <w:spacing w:after="0" w:line="240" w:lineRule="auto"/>
        <w:ind w:left="720"/>
        <w:rPr>
          <w:color w:val="000000"/>
          <w:lang w:val="es-419"/>
        </w:rPr>
      </w:pPr>
    </w:p>
    <w:p w:rsidRPr="00A24FDB" w:rsidR="007B61D0" w:rsidRDefault="007B61D0" w14:paraId="065F898D" w14:textId="77777777">
      <w:pPr>
        <w:pBdr>
          <w:top w:val="nil"/>
          <w:left w:val="nil"/>
          <w:bottom w:val="nil"/>
          <w:right w:val="nil"/>
          <w:between w:val="nil"/>
        </w:pBdr>
        <w:spacing w:after="0" w:line="240" w:lineRule="auto"/>
        <w:ind w:left="720"/>
        <w:rPr>
          <w:color w:val="000000"/>
          <w:lang w:val="es-419"/>
        </w:rPr>
      </w:pPr>
    </w:p>
    <w:p w:rsidRPr="00A24FDB" w:rsidR="007B61D0" w:rsidRDefault="007B61D0" w14:paraId="1A2C9CA0" w14:textId="77777777">
      <w:pPr>
        <w:pBdr>
          <w:top w:val="nil"/>
          <w:left w:val="nil"/>
          <w:bottom w:val="nil"/>
          <w:right w:val="nil"/>
          <w:between w:val="nil"/>
        </w:pBdr>
        <w:spacing w:after="0" w:line="240" w:lineRule="auto"/>
        <w:ind w:left="720"/>
        <w:rPr>
          <w:color w:val="000000"/>
          <w:lang w:val="es-419"/>
        </w:rPr>
      </w:pPr>
    </w:p>
    <w:p w:rsidRPr="00A24FDB" w:rsidR="007B61D0" w:rsidRDefault="007B61D0" w14:paraId="3C8154A8" w14:textId="77777777">
      <w:pPr>
        <w:pBdr>
          <w:top w:val="nil"/>
          <w:left w:val="nil"/>
          <w:bottom w:val="nil"/>
          <w:right w:val="nil"/>
          <w:between w:val="nil"/>
        </w:pBdr>
        <w:spacing w:after="0" w:line="240" w:lineRule="auto"/>
        <w:ind w:left="720"/>
        <w:rPr>
          <w:color w:val="000000"/>
          <w:lang w:val="es-419"/>
        </w:rPr>
      </w:pPr>
    </w:p>
    <w:p w:rsidRPr="00A24FDB" w:rsidR="007B61D0" w:rsidRDefault="007B61D0" w14:paraId="48998327" w14:textId="77777777">
      <w:pPr>
        <w:pBdr>
          <w:top w:val="nil"/>
          <w:left w:val="nil"/>
          <w:bottom w:val="nil"/>
          <w:right w:val="nil"/>
          <w:between w:val="nil"/>
        </w:pBdr>
        <w:spacing w:after="0" w:line="240" w:lineRule="auto"/>
        <w:ind w:left="720"/>
        <w:rPr>
          <w:color w:val="000000"/>
          <w:lang w:val="es-419"/>
        </w:rPr>
      </w:pPr>
    </w:p>
    <w:p w:rsidRPr="00A24FDB" w:rsidR="007B61D0" w:rsidRDefault="007B61D0" w14:paraId="44494C01" w14:textId="77777777">
      <w:pPr>
        <w:rPr>
          <w:b/>
          <w:lang w:val="es-419"/>
        </w:rPr>
      </w:pPr>
    </w:p>
    <w:p w:rsidR="00A24FDB" w:rsidRDefault="00A24FDB" w14:paraId="64488648" w14:textId="77777777">
      <w:pPr>
        <w:rPr>
          <w:b/>
          <w:lang w:val="es-419"/>
        </w:rPr>
      </w:pPr>
    </w:p>
    <w:p w:rsidR="00FA5520" w:rsidRDefault="00FA5520" w14:paraId="6CAE6807" w14:textId="77777777">
      <w:pPr>
        <w:rPr>
          <w:b/>
          <w:lang w:val="es-419"/>
        </w:rPr>
      </w:pPr>
    </w:p>
    <w:p w:rsidRPr="00A24FDB" w:rsidR="007B61D0" w:rsidRDefault="006867DD" w14:paraId="4AF59E3A" w14:textId="6608FED0">
      <w:pPr>
        <w:rPr>
          <w:b/>
          <w:lang w:val="es-419"/>
        </w:rPr>
      </w:pPr>
      <w:r>
        <w:rPr>
          <w:b/>
          <w:lang w:val="es-419"/>
        </w:rPr>
        <w:t>¿A quién está dirigido este kit de herramientas</w:t>
      </w:r>
      <w:r w:rsidRPr="00A24FDB" w:rsidR="000C6B6A">
        <w:rPr>
          <w:b/>
          <w:lang w:val="es-419"/>
        </w:rPr>
        <w:t>?</w:t>
      </w:r>
    </w:p>
    <w:p w:rsidRPr="00A24FDB" w:rsidR="007B61D0" w:rsidRDefault="006E0EA2" w14:paraId="4BC3E512" w14:textId="3F68C0FF">
      <w:pPr>
        <w:rPr>
          <w:lang w:val="es-419"/>
        </w:rPr>
      </w:pPr>
      <w:r>
        <w:rPr>
          <w:lang w:val="es-419"/>
        </w:rPr>
        <w:t>El público</w:t>
      </w:r>
      <w:r w:rsidR="00632B83">
        <w:rPr>
          <w:lang w:val="es-419"/>
        </w:rPr>
        <w:t xml:space="preserve"> objetivo</w:t>
      </w:r>
      <w:r w:rsidRPr="00D67D95" w:rsidR="00D67D95">
        <w:rPr>
          <w:lang w:val="es-419"/>
        </w:rPr>
        <w:t xml:space="preserve"> de este kit de herramientas es cualquier persona que desee implementar las Normas Mínimas. Está más específicamente diseñado para </w:t>
      </w:r>
      <w:r>
        <w:rPr>
          <w:lang w:val="es-419"/>
        </w:rPr>
        <w:t xml:space="preserve">las </w:t>
      </w:r>
      <w:r w:rsidRPr="00D67D95" w:rsidR="00D67D95">
        <w:rPr>
          <w:lang w:val="es-419"/>
        </w:rPr>
        <w:t>persona</w:t>
      </w:r>
      <w:r>
        <w:rPr>
          <w:lang w:val="es-419"/>
        </w:rPr>
        <w:t>s</w:t>
      </w:r>
      <w:r w:rsidRPr="00D67D95" w:rsidR="00D67D95">
        <w:rPr>
          <w:lang w:val="es-419"/>
        </w:rPr>
        <w:t xml:space="preserve"> desplegada</w:t>
      </w:r>
      <w:r>
        <w:rPr>
          <w:lang w:val="es-419"/>
        </w:rPr>
        <w:t>s</w:t>
      </w:r>
      <w:r w:rsidRPr="00D67D95" w:rsidR="00D67D95">
        <w:rPr>
          <w:lang w:val="es-419"/>
        </w:rPr>
        <w:t xml:space="preserve"> como personal de PGI (delegados, puntos focales, asesores regionales, jefes)</w:t>
      </w:r>
      <w:r w:rsidRPr="00A24FDB" w:rsidR="000C6B6A">
        <w:rPr>
          <w:lang w:val="es-419"/>
        </w:rPr>
        <w:t xml:space="preserve">. </w:t>
      </w:r>
      <w:r w:rsidRPr="00D67D95" w:rsidR="00D67D95">
        <w:rPr>
          <w:lang w:val="es-419"/>
        </w:rPr>
        <w:t>Por lo tanto, este kit de herramientas está dirigido a</w:t>
      </w:r>
      <w:r w:rsidR="00632B83">
        <w:rPr>
          <w:lang w:val="es-419"/>
        </w:rPr>
        <w:t xml:space="preserve"> personas </w:t>
      </w:r>
      <w:r w:rsidRPr="00D67D95" w:rsidR="00D67D95">
        <w:rPr>
          <w:lang w:val="es-419"/>
        </w:rPr>
        <w:t>que cuenta</w:t>
      </w:r>
      <w:r w:rsidR="00632B83">
        <w:rPr>
          <w:lang w:val="es-419"/>
        </w:rPr>
        <w:t>n</w:t>
      </w:r>
      <w:r w:rsidRPr="00D67D95" w:rsidR="00D67D95">
        <w:rPr>
          <w:lang w:val="es-419"/>
        </w:rPr>
        <w:t xml:space="preserve"> con algunas habilidades que coinciden con el Marco de Competencias en PGI de la FICR, </w:t>
      </w:r>
      <w:r w:rsidR="00632B83">
        <w:rPr>
          <w:lang w:val="es-419"/>
        </w:rPr>
        <w:t>o a un</w:t>
      </w:r>
      <w:r w:rsidRPr="00D67D95" w:rsidR="00D67D95">
        <w:rPr>
          <w:lang w:val="es-419"/>
        </w:rPr>
        <w:t xml:space="preserve"> punto focal designado elegido por su Sociedad Nacional</w:t>
      </w:r>
      <w:r w:rsidRPr="00A24FDB" w:rsidR="000C6B6A">
        <w:rPr>
          <w:lang w:val="es-419"/>
        </w:rPr>
        <w:t>.</w:t>
      </w:r>
    </w:p>
    <w:p w:rsidRPr="00A24FDB" w:rsidR="007B61D0" w:rsidRDefault="00E90603" w14:paraId="3537C0C0" w14:textId="0C86923E">
      <w:pPr>
        <w:rPr>
          <w:lang w:val="es-419"/>
        </w:rPr>
      </w:pPr>
      <w:r w:rsidRPr="00E90603">
        <w:rPr>
          <w:lang w:val="es-419"/>
        </w:rPr>
        <w:t xml:space="preserve">A los puntos focales y al personal de PGI periódicamente se les brindan oportunidades para desarrollar y fortalecer sus habilidades, por ejemplo, </w:t>
      </w:r>
      <w:r w:rsidR="00541A56">
        <w:rPr>
          <w:lang w:val="es-419"/>
        </w:rPr>
        <w:t xml:space="preserve">las </w:t>
      </w:r>
      <w:r w:rsidRPr="00E90603">
        <w:rPr>
          <w:lang w:val="es-419"/>
        </w:rPr>
        <w:t>capacitaciones básicas y avanzadas en PGI que ofrece la FICR</w:t>
      </w:r>
      <w:r w:rsidR="00541A56">
        <w:rPr>
          <w:lang w:val="es-419"/>
        </w:rPr>
        <w:t xml:space="preserve"> (</w:t>
      </w:r>
      <w:r w:rsidRPr="00E90603">
        <w:rPr>
          <w:lang w:val="es-419"/>
        </w:rPr>
        <w:t>incluyendo capacitación en prevención y respuesta a la violencia sexual y de género</w:t>
      </w:r>
      <w:r w:rsidR="00541A56">
        <w:rPr>
          <w:lang w:val="es-419"/>
        </w:rPr>
        <w:t>)</w:t>
      </w:r>
      <w:r w:rsidRPr="00E90603">
        <w:rPr>
          <w:lang w:val="es-419"/>
        </w:rPr>
        <w:t>, capacitación en inclusión con respecto a la discapacidad, capacitación en protección infantil, capacitación relacionada con la migración u otro desarrollo profesional</w:t>
      </w:r>
      <w:r w:rsidRPr="00A24FDB" w:rsidR="000C6B6A">
        <w:rPr>
          <w:lang w:val="es-419"/>
        </w:rPr>
        <w:t>.</w:t>
      </w:r>
    </w:p>
    <w:p w:rsidRPr="00A24FDB" w:rsidR="007B61D0" w:rsidRDefault="006E0EA2" w14:paraId="36EA5E17" w14:textId="1E9474BA">
      <w:pPr>
        <w:rPr>
          <w:lang w:val="es-419"/>
        </w:rPr>
      </w:pPr>
      <w:r>
        <w:rPr>
          <w:lang w:val="es-419"/>
        </w:rPr>
        <w:t>Un público secundario</w:t>
      </w:r>
      <w:r w:rsidRPr="00E90603" w:rsidR="00E90603">
        <w:rPr>
          <w:lang w:val="es-419"/>
        </w:rPr>
        <w:t xml:space="preserve"> para este kit de herramientas son los equipos de preparación, respuesta y recuperación ante desastres, </w:t>
      </w:r>
      <w:r w:rsidR="00541A56">
        <w:rPr>
          <w:lang w:val="es-419"/>
        </w:rPr>
        <w:t xml:space="preserve">así como </w:t>
      </w:r>
      <w:r w:rsidRPr="00E90603" w:rsidR="00E90603">
        <w:rPr>
          <w:lang w:val="es-419"/>
        </w:rPr>
        <w:t xml:space="preserve">los </w:t>
      </w:r>
      <w:r>
        <w:rPr>
          <w:lang w:val="es-419"/>
        </w:rPr>
        <w:t xml:space="preserve">líderes </w:t>
      </w:r>
      <w:r w:rsidRPr="00E90603" w:rsidR="00E90603">
        <w:rPr>
          <w:lang w:val="es-419"/>
        </w:rPr>
        <w:t>de sector que desean integrar las normas mínimas de PGI en el ciclo de un proyecto</w:t>
      </w:r>
      <w:r w:rsidRPr="00A24FDB" w:rsidR="000C6B6A">
        <w:rPr>
          <w:lang w:val="es-419"/>
        </w:rPr>
        <w:t>.</w:t>
      </w:r>
    </w:p>
    <w:p w:rsidRPr="00A24FDB" w:rsidR="007B61D0" w:rsidRDefault="009867BE" w14:paraId="5828781D" w14:textId="27765077">
      <w:pPr>
        <w:rPr>
          <w:b/>
          <w:lang w:val="es-419"/>
        </w:rPr>
      </w:pPr>
      <w:r w:rsidRPr="009867BE">
        <w:rPr>
          <w:b/>
          <w:lang w:val="es-419"/>
        </w:rPr>
        <w:t>Debido a que las herramientas en este kit requieren diferentes niveles de conocimiento en materia de PGI, las herramientas están codificadas de la siguiente manera</w:t>
      </w:r>
      <w:r w:rsidRPr="00A24FDB" w:rsidR="000C6B6A">
        <w:rPr>
          <w:b/>
          <w:lang w:val="es-419"/>
        </w:rPr>
        <w:t>:</w:t>
      </w:r>
    </w:p>
    <w:p w:rsidRPr="00A24FDB" w:rsidR="007B61D0" w:rsidRDefault="009867BE" w14:paraId="2394CF9F" w14:textId="43D34224">
      <w:pPr>
        <w:numPr>
          <w:ilvl w:val="0"/>
          <w:numId w:val="1"/>
        </w:numPr>
        <w:pBdr>
          <w:top w:val="nil"/>
          <w:left w:val="nil"/>
          <w:bottom w:val="nil"/>
          <w:right w:val="nil"/>
          <w:between w:val="nil"/>
        </w:pBdr>
        <w:spacing w:after="0" w:line="240" w:lineRule="auto"/>
        <w:rPr>
          <w:color w:val="000000"/>
          <w:lang w:val="es-419"/>
        </w:rPr>
      </w:pPr>
      <w:r w:rsidRPr="009867BE">
        <w:rPr>
          <w:color w:val="000000"/>
          <w:lang w:val="es-419"/>
        </w:rPr>
        <w:t>Novato: no se requieren conocimientos ni capacitación previos en PGI para usar esta herramienta</w:t>
      </w:r>
      <w:r w:rsidRPr="00A24FDB" w:rsidR="000C6B6A">
        <w:rPr>
          <w:color w:val="000000"/>
          <w:vertAlign w:val="superscript"/>
          <w:lang w:val="es-419"/>
        </w:rPr>
        <w:footnoteReference w:id="2"/>
      </w:r>
    </w:p>
    <w:p w:rsidRPr="00A24FDB" w:rsidR="007B61D0" w:rsidRDefault="009867BE" w14:paraId="1EEDCD7F" w14:textId="183AF844">
      <w:pPr>
        <w:numPr>
          <w:ilvl w:val="0"/>
          <w:numId w:val="1"/>
        </w:numPr>
        <w:pBdr>
          <w:top w:val="nil"/>
          <w:left w:val="nil"/>
          <w:bottom w:val="nil"/>
          <w:right w:val="nil"/>
          <w:between w:val="nil"/>
        </w:pBdr>
        <w:spacing w:after="0" w:line="240" w:lineRule="auto"/>
        <w:rPr>
          <w:color w:val="000000"/>
          <w:lang w:val="es-419"/>
        </w:rPr>
      </w:pPr>
      <w:r w:rsidRPr="009867BE">
        <w:rPr>
          <w:color w:val="000000"/>
          <w:lang w:val="es-419"/>
        </w:rPr>
        <w:t xml:space="preserve">Básico: se requieren conocimientos y capacitación básicos </w:t>
      </w:r>
      <w:r>
        <w:rPr>
          <w:color w:val="000000"/>
          <w:lang w:val="es-419"/>
        </w:rPr>
        <w:t>en</w:t>
      </w:r>
      <w:r w:rsidRPr="009867BE">
        <w:rPr>
          <w:color w:val="000000"/>
          <w:lang w:val="es-419"/>
        </w:rPr>
        <w:t xml:space="preserve"> PGI para usar esta herramienta</w:t>
      </w:r>
      <w:r w:rsidRPr="00A24FDB" w:rsidR="000C6B6A">
        <w:rPr>
          <w:color w:val="000000"/>
          <w:vertAlign w:val="superscript"/>
          <w:lang w:val="es-419"/>
        </w:rPr>
        <w:footnoteReference w:id="3"/>
      </w:r>
    </w:p>
    <w:p w:rsidRPr="00A24FDB" w:rsidR="007B61D0" w:rsidRDefault="009867BE" w14:paraId="23F14699" w14:textId="7953E18E">
      <w:pPr>
        <w:numPr>
          <w:ilvl w:val="0"/>
          <w:numId w:val="1"/>
        </w:numPr>
        <w:pBdr>
          <w:top w:val="nil"/>
          <w:left w:val="nil"/>
          <w:bottom w:val="nil"/>
          <w:right w:val="nil"/>
          <w:between w:val="nil"/>
        </w:pBdr>
        <w:spacing w:after="0" w:line="240" w:lineRule="auto"/>
        <w:rPr>
          <w:color w:val="000000"/>
          <w:lang w:val="es-419"/>
        </w:rPr>
      </w:pPr>
      <w:r w:rsidRPr="009867BE">
        <w:rPr>
          <w:color w:val="000000"/>
          <w:lang w:val="es-419"/>
        </w:rPr>
        <w:t>Experimentado: se requieren conocimientos</w:t>
      </w:r>
      <w:r>
        <w:rPr>
          <w:color w:val="000000"/>
          <w:lang w:val="es-419"/>
        </w:rPr>
        <w:t xml:space="preserve"> avanzados</w:t>
      </w:r>
      <w:r w:rsidRPr="009867BE">
        <w:rPr>
          <w:color w:val="000000"/>
          <w:lang w:val="es-419"/>
        </w:rPr>
        <w:t xml:space="preserve"> y experiencia</w:t>
      </w:r>
      <w:r>
        <w:rPr>
          <w:color w:val="000000"/>
          <w:lang w:val="es-419"/>
        </w:rPr>
        <w:t xml:space="preserve"> en </w:t>
      </w:r>
      <w:r w:rsidRPr="009867BE">
        <w:rPr>
          <w:color w:val="000000"/>
          <w:lang w:val="es-419"/>
        </w:rPr>
        <w:t>PGI para usar esta herramienta</w:t>
      </w:r>
      <w:r w:rsidRPr="00A24FDB" w:rsidR="000C6B6A">
        <w:rPr>
          <w:color w:val="000000"/>
          <w:vertAlign w:val="superscript"/>
          <w:lang w:val="es-419"/>
        </w:rPr>
        <w:footnoteReference w:id="4"/>
      </w:r>
    </w:p>
    <w:p w:rsidR="007B61D0" w:rsidRDefault="009867BE" w14:paraId="7A2E1DAA" w14:textId="535C466C">
      <w:pPr>
        <w:numPr>
          <w:ilvl w:val="0"/>
          <w:numId w:val="1"/>
        </w:numPr>
        <w:pBdr>
          <w:top w:val="nil"/>
          <w:left w:val="nil"/>
          <w:bottom w:val="nil"/>
          <w:right w:val="nil"/>
          <w:between w:val="nil"/>
        </w:pBdr>
        <w:spacing w:after="0" w:line="240" w:lineRule="auto"/>
        <w:rPr>
          <w:color w:val="000000"/>
          <w:lang w:val="es-419"/>
        </w:rPr>
      </w:pPr>
      <w:r>
        <w:rPr>
          <w:color w:val="000000"/>
          <w:lang w:val="es-419"/>
        </w:rPr>
        <w:t>Especializado</w:t>
      </w:r>
      <w:r w:rsidRPr="00A24FDB" w:rsidR="000C6B6A">
        <w:rPr>
          <w:color w:val="000000"/>
          <w:lang w:val="es-419"/>
        </w:rPr>
        <w:t xml:space="preserve">: </w:t>
      </w:r>
      <w:r>
        <w:rPr>
          <w:color w:val="000000"/>
          <w:lang w:val="es-419"/>
        </w:rPr>
        <w:t xml:space="preserve">se requieren conocimientos avanzados y experiencia aplicada en PGI </w:t>
      </w:r>
      <w:r w:rsidRPr="009867BE">
        <w:rPr>
          <w:color w:val="000000"/>
          <w:lang w:val="es-419"/>
        </w:rPr>
        <w:t xml:space="preserve">para usar esta herramienta </w:t>
      </w:r>
      <w:r w:rsidRPr="00A24FDB" w:rsidR="000C6B6A">
        <w:rPr>
          <w:color w:val="000000"/>
          <w:vertAlign w:val="superscript"/>
          <w:lang w:val="es-419"/>
        </w:rPr>
        <w:footnoteReference w:id="5"/>
      </w:r>
    </w:p>
    <w:p w:rsidRPr="00A24FDB" w:rsidR="00A24FDB" w:rsidP="00A24FDB" w:rsidRDefault="00A24FDB" w14:paraId="0F343957" w14:textId="77777777">
      <w:pPr>
        <w:pBdr>
          <w:top w:val="nil"/>
          <w:left w:val="nil"/>
          <w:bottom w:val="nil"/>
          <w:right w:val="nil"/>
          <w:between w:val="nil"/>
        </w:pBdr>
        <w:spacing w:after="0" w:line="240" w:lineRule="auto"/>
        <w:ind w:left="720"/>
        <w:rPr>
          <w:color w:val="000000"/>
          <w:lang w:val="es-419"/>
        </w:rPr>
      </w:pPr>
    </w:p>
    <w:tbl>
      <w:tblPr>
        <w:tblW w:w="92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697"/>
        <w:gridCol w:w="345"/>
        <w:gridCol w:w="2490"/>
        <w:gridCol w:w="3121"/>
        <w:gridCol w:w="1612"/>
      </w:tblGrid>
      <w:tr w:rsidRPr="00A24FDB" w:rsidR="007B61D0" w:rsidTr="5574D9F5" w14:paraId="4BF01B68" w14:textId="77777777">
        <w:trPr>
          <w:trHeight w:val="440"/>
        </w:trPr>
        <w:tc>
          <w:tcPr>
            <w:tcW w:w="9265" w:type="dxa"/>
            <w:gridSpan w:val="5"/>
            <w:shd w:val="clear" w:color="auto" w:fill="B4C6E7" w:themeFill="accent1" w:themeFillTint="66"/>
            <w:tcMar/>
          </w:tcPr>
          <w:p w:rsidRPr="00A24FDB" w:rsidR="007B61D0" w:rsidRDefault="000C6B6A" w14:paraId="56350AE7" w14:textId="2C7D73C6">
            <w:pPr>
              <w:rPr>
                <w:b/>
                <w:color w:val="000000"/>
                <w:sz w:val="22"/>
                <w:szCs w:val="22"/>
                <w:lang w:val="es-419"/>
              </w:rPr>
            </w:pPr>
            <w:r w:rsidRPr="00A24FDB">
              <w:rPr>
                <w:b/>
                <w:color w:val="000000"/>
                <w:sz w:val="22"/>
                <w:szCs w:val="22"/>
                <w:lang w:val="es-419"/>
              </w:rPr>
              <w:t>Tabl</w:t>
            </w:r>
            <w:r w:rsidR="009867BE">
              <w:rPr>
                <w:b/>
                <w:color w:val="000000"/>
                <w:sz w:val="22"/>
                <w:szCs w:val="22"/>
                <w:lang w:val="es-419"/>
              </w:rPr>
              <w:t>a</w:t>
            </w:r>
            <w:r w:rsidRPr="00A24FDB">
              <w:rPr>
                <w:b/>
                <w:color w:val="000000"/>
                <w:sz w:val="22"/>
                <w:szCs w:val="22"/>
                <w:lang w:val="es-419"/>
              </w:rPr>
              <w:t xml:space="preserve"> 1.1 </w:t>
            </w:r>
            <w:r w:rsidR="009867BE">
              <w:rPr>
                <w:b/>
                <w:color w:val="000000"/>
                <w:sz w:val="22"/>
                <w:szCs w:val="22"/>
                <w:lang w:val="es-419"/>
              </w:rPr>
              <w:t>Contenido</w:t>
            </w:r>
          </w:p>
        </w:tc>
      </w:tr>
      <w:tr w:rsidRPr="00A24FDB" w:rsidR="007B61D0" w:rsidTr="5574D9F5" w14:paraId="7A34058C" w14:textId="77777777">
        <w:trPr>
          <w:trHeight w:val="460"/>
        </w:trPr>
        <w:tc>
          <w:tcPr>
            <w:tcW w:w="2042" w:type="dxa"/>
            <w:gridSpan w:val="2"/>
            <w:tcMar/>
            <w:vAlign w:val="center"/>
          </w:tcPr>
          <w:p w:rsidRPr="00A24FDB" w:rsidR="007B61D0" w:rsidRDefault="008D4048" w14:paraId="5558364D" w14:textId="4D113D82">
            <w:pPr>
              <w:rPr>
                <w:b/>
                <w:color w:val="000000"/>
                <w:sz w:val="22"/>
                <w:szCs w:val="22"/>
                <w:lang w:val="es-419"/>
              </w:rPr>
            </w:pPr>
            <w:r w:rsidRPr="008D4048">
              <w:rPr>
                <w:b/>
                <w:color w:val="000000"/>
                <w:sz w:val="22"/>
                <w:szCs w:val="22"/>
                <w:lang w:val="es-419"/>
              </w:rPr>
              <w:t>Capítulo y Etapa del ciclo de proyecto</w:t>
            </w:r>
          </w:p>
        </w:tc>
        <w:tc>
          <w:tcPr>
            <w:tcW w:w="2490" w:type="dxa"/>
            <w:tcMar/>
            <w:vAlign w:val="center"/>
          </w:tcPr>
          <w:p w:rsidRPr="00A24FDB" w:rsidR="007B61D0" w:rsidRDefault="008D4048" w14:paraId="342819CA" w14:textId="1CF26E23">
            <w:pPr>
              <w:rPr>
                <w:b/>
                <w:color w:val="000000"/>
                <w:sz w:val="22"/>
                <w:szCs w:val="22"/>
                <w:lang w:val="es-419"/>
              </w:rPr>
            </w:pPr>
            <w:r>
              <w:rPr>
                <w:b/>
                <w:color w:val="000000"/>
                <w:sz w:val="22"/>
                <w:szCs w:val="22"/>
                <w:lang w:val="es-419"/>
              </w:rPr>
              <w:t>Herramienta</w:t>
            </w:r>
          </w:p>
        </w:tc>
        <w:tc>
          <w:tcPr>
            <w:tcW w:w="3121" w:type="dxa"/>
            <w:tcMar/>
          </w:tcPr>
          <w:p w:rsidRPr="00A24FDB" w:rsidR="007B61D0" w:rsidRDefault="008D4048" w14:paraId="017230DB" w14:textId="74A861CA">
            <w:pPr>
              <w:rPr>
                <w:b/>
                <w:color w:val="000000"/>
                <w:sz w:val="22"/>
                <w:szCs w:val="22"/>
                <w:lang w:val="es-419"/>
              </w:rPr>
            </w:pPr>
            <w:r w:rsidRPr="008D4048">
              <w:rPr>
                <w:b/>
                <w:color w:val="000000"/>
                <w:sz w:val="22"/>
                <w:szCs w:val="22"/>
                <w:lang w:val="es-419"/>
              </w:rPr>
              <w:t>Resumen de la herramienta y aplicación en la recuperación</w:t>
            </w:r>
          </w:p>
        </w:tc>
        <w:tc>
          <w:tcPr>
            <w:tcW w:w="1612" w:type="dxa"/>
            <w:tcMar/>
          </w:tcPr>
          <w:p w:rsidRPr="00A24FDB" w:rsidR="007B61D0" w:rsidRDefault="008D4048" w14:paraId="14C8E634" w14:textId="4992C42D">
            <w:pPr>
              <w:rPr>
                <w:b/>
                <w:color w:val="000000"/>
                <w:sz w:val="22"/>
                <w:szCs w:val="22"/>
                <w:lang w:val="es-419"/>
              </w:rPr>
            </w:pPr>
            <w:r w:rsidRPr="008D4048">
              <w:rPr>
                <w:b/>
                <w:color w:val="000000"/>
                <w:sz w:val="22"/>
                <w:szCs w:val="22"/>
                <w:lang w:val="es-419"/>
              </w:rPr>
              <w:t>Experiencia requerida</w:t>
            </w:r>
          </w:p>
        </w:tc>
      </w:tr>
      <w:tr w:rsidRPr="005F1E52" w:rsidR="007B61D0" w:rsidTr="5574D9F5" w14:paraId="008E4311" w14:textId="77777777">
        <w:trPr>
          <w:trHeight w:val="260"/>
        </w:trPr>
        <w:tc>
          <w:tcPr>
            <w:tcW w:w="1697" w:type="dxa"/>
            <w:tcMar/>
            <w:vAlign w:val="center"/>
          </w:tcPr>
          <w:p w:rsidRPr="00A24FDB" w:rsidR="007B61D0" w:rsidP="008D4048" w:rsidRDefault="000C6B6A" w14:paraId="38C5BB17" w14:textId="4494D77E">
            <w:pPr>
              <w:rPr>
                <w:b/>
                <w:color w:val="000000"/>
                <w:sz w:val="22"/>
                <w:szCs w:val="22"/>
                <w:lang w:val="es-419"/>
              </w:rPr>
            </w:pPr>
            <w:r w:rsidRPr="00A24FDB">
              <w:rPr>
                <w:b/>
                <w:color w:val="000000"/>
                <w:sz w:val="22"/>
                <w:szCs w:val="22"/>
                <w:lang w:val="es-419"/>
              </w:rPr>
              <w:t xml:space="preserve">1. </w:t>
            </w:r>
            <w:r w:rsidRPr="008D4048" w:rsidR="008D4048">
              <w:rPr>
                <w:b/>
                <w:color w:val="000000"/>
                <w:sz w:val="22"/>
                <w:szCs w:val="22"/>
                <w:lang w:val="es-419"/>
              </w:rPr>
              <w:t>Visión general</w:t>
            </w:r>
          </w:p>
        </w:tc>
        <w:tc>
          <w:tcPr>
            <w:tcW w:w="2835" w:type="dxa"/>
            <w:gridSpan w:val="2"/>
            <w:tcMar/>
          </w:tcPr>
          <w:p w:rsidRPr="00A24FDB" w:rsidR="007B61D0" w:rsidP="5A9AD4E6" w:rsidRDefault="000C6B6A" w14:paraId="14A740E4" w14:textId="387A6FC9">
            <w:pPr>
              <w:pStyle w:val="Normal"/>
              <w:bidi w:val="0"/>
              <w:spacing w:before="0" w:beforeAutospacing="off" w:after="0" w:afterAutospacing="off" w:line="259" w:lineRule="auto"/>
              <w:ind w:left="0" w:right="0"/>
              <w:jc w:val="left"/>
              <w:rPr>
                <w:color w:val="000000" w:themeColor="text1" w:themeTint="FF" w:themeShade="FF"/>
                <w:sz w:val="22"/>
                <w:szCs w:val="22"/>
                <w:lang w:val="es-419"/>
              </w:rPr>
            </w:pPr>
            <w:r w:rsidRPr="5A9AD4E6" w:rsidR="7CB00085">
              <w:rPr>
                <w:color w:val="000000" w:themeColor="text1" w:themeTint="FF" w:themeShade="FF"/>
                <w:sz w:val="22"/>
                <w:szCs w:val="22"/>
                <w:lang w:val="es-419"/>
              </w:rPr>
              <w:t>Introducción</w:t>
            </w:r>
          </w:p>
        </w:tc>
        <w:tc>
          <w:tcPr>
            <w:tcW w:w="3121" w:type="dxa"/>
            <w:tcMar/>
            <w:vAlign w:val="center"/>
          </w:tcPr>
          <w:p w:rsidRPr="00A24FDB" w:rsidR="007B61D0" w:rsidRDefault="008D4048" w14:paraId="6F713501" w14:textId="3E90CA96">
            <w:pPr>
              <w:rPr>
                <w:color w:val="000000"/>
                <w:sz w:val="22"/>
                <w:szCs w:val="22"/>
                <w:lang w:val="es-419"/>
              </w:rPr>
            </w:pPr>
            <w:r>
              <w:rPr>
                <w:color w:val="000000"/>
                <w:sz w:val="22"/>
                <w:szCs w:val="22"/>
                <w:lang w:val="es-419"/>
              </w:rPr>
              <w:t>Esta es solo una visión general</w:t>
            </w:r>
          </w:p>
        </w:tc>
        <w:tc>
          <w:tcPr>
            <w:tcW w:w="1612" w:type="dxa"/>
            <w:tcMar/>
            <w:vAlign w:val="center"/>
          </w:tcPr>
          <w:p w:rsidRPr="00A24FDB" w:rsidR="007B61D0" w:rsidRDefault="007B61D0" w14:paraId="650B60D2" w14:textId="77777777">
            <w:pPr>
              <w:rPr>
                <w:color w:val="000000"/>
                <w:sz w:val="22"/>
                <w:szCs w:val="22"/>
                <w:lang w:val="es-419"/>
              </w:rPr>
            </w:pPr>
          </w:p>
        </w:tc>
      </w:tr>
      <w:tr w:rsidR="5A9AD4E6" w:rsidTr="5574D9F5" w14:paraId="6D160C3C">
        <w:trPr>
          <w:trHeight w:val="800"/>
        </w:trPr>
        <w:tc>
          <w:tcPr>
            <w:tcW w:w="1697" w:type="dxa"/>
            <w:tcW w:w="1697" w:type="dxa"/>
            <w:vMerge w:val="restart"/>
            <w:tcMar/>
            <w:vAlign w:val="center"/>
          </w:tcPr>
          <w:p w:rsidR="5A9AD4E6" w:rsidP="5A9AD4E6" w:rsidRDefault="5A9AD4E6" w14:paraId="749F100B" w14:textId="76B963E2">
            <w:pPr>
              <w:pStyle w:val="Normal"/>
              <w:rPr>
                <w:b w:val="1"/>
                <w:bCs w:val="1"/>
                <w:color w:val="000000" w:themeColor="text1" w:themeTint="FF" w:themeShade="FF"/>
                <w:sz w:val="22"/>
                <w:szCs w:val="22"/>
                <w:lang w:val="es-419"/>
              </w:rPr>
            </w:pPr>
          </w:p>
          <w:p w:rsidR="000C6B6A" w:rsidP="5A9AD4E6" w:rsidRDefault="000C6B6A" w14:paraId="4A6D0626" w14:noSpellErr="1">
            <w:pPr>
              <w:rPr>
                <w:b w:val="1"/>
                <w:bCs w:val="1"/>
                <w:color w:val="000000" w:themeColor="text1" w:themeTint="FF" w:themeShade="FF"/>
                <w:sz w:val="22"/>
                <w:szCs w:val="22"/>
                <w:lang w:val="es-419"/>
              </w:rPr>
            </w:pPr>
            <w:r w:rsidRPr="5A9AD4E6" w:rsidR="000C6B6A">
              <w:rPr>
                <w:b w:val="1"/>
                <w:bCs w:val="1"/>
                <w:color w:val="000000" w:themeColor="text1" w:themeTint="FF" w:themeShade="FF"/>
                <w:sz w:val="22"/>
                <w:szCs w:val="22"/>
                <w:lang w:val="es-419"/>
              </w:rPr>
              <w:t>2.</w:t>
            </w:r>
          </w:p>
          <w:p w:rsidR="000C6B6A" w:rsidP="5A9AD4E6" w:rsidRDefault="000C6B6A" w14:paraId="5BB99D7F" w14:noSpellErr="1" w14:textId="2009E943">
            <w:pPr>
              <w:rPr>
                <w:b w:val="1"/>
                <w:bCs w:val="1"/>
                <w:color w:val="000000" w:themeColor="text1" w:themeTint="FF" w:themeShade="FF"/>
                <w:lang w:val="es-419"/>
              </w:rPr>
            </w:pPr>
            <w:r w:rsidRPr="5A9AD4E6" w:rsidR="000C6B6A">
              <w:rPr>
                <w:b w:val="1"/>
                <w:bCs w:val="1"/>
                <w:color w:val="000000" w:themeColor="text1" w:themeTint="FF" w:themeShade="FF"/>
                <w:sz w:val="22"/>
                <w:szCs w:val="22"/>
                <w:lang w:val="es-419"/>
              </w:rPr>
              <w:t>Plan</w:t>
            </w:r>
            <w:r w:rsidRPr="5A9AD4E6" w:rsidR="1A8902DF">
              <w:rPr>
                <w:b w:val="1"/>
                <w:bCs w:val="1"/>
                <w:color w:val="000000" w:themeColor="text1" w:themeTint="FF" w:themeShade="FF"/>
                <w:sz w:val="22"/>
                <w:szCs w:val="22"/>
                <w:lang w:val="es-419"/>
              </w:rPr>
              <w:t>ificación y Evaluación</w:t>
            </w:r>
          </w:p>
        </w:tc>
        <w:tc>
          <w:tcPr>
            <w:tcW w:w="2835" w:type="dxa"/>
            <w:gridSpan w:val="2"/>
            <w:tcMar/>
          </w:tcPr>
          <w:p w:rsidR="75EEFB82" w:rsidP="5A9AD4E6" w:rsidRDefault="75EEFB82" w14:paraId="66E02DCD" w14:textId="7F4496B7">
            <w:pPr>
              <w:pStyle w:val="Normal"/>
              <w:rPr>
                <w:color w:val="000000" w:themeColor="text1" w:themeTint="FF" w:themeShade="FF"/>
                <w:sz w:val="22"/>
                <w:szCs w:val="22"/>
                <w:lang w:val="es-419"/>
              </w:rPr>
            </w:pPr>
            <w:r w:rsidRPr="5A9AD4E6" w:rsidR="75EEFB82">
              <w:rPr>
                <w:color w:val="000000" w:themeColor="text1" w:themeTint="FF" w:themeShade="FF"/>
                <w:sz w:val="22"/>
                <w:szCs w:val="22"/>
                <w:lang w:val="es-419"/>
              </w:rPr>
              <w:t>Planificación y Evaluación</w:t>
            </w:r>
          </w:p>
        </w:tc>
        <w:tc>
          <w:tcPr>
            <w:tcW w:w="3121" w:type="dxa"/>
            <w:tcMar/>
            <w:vAlign w:val="center"/>
          </w:tcPr>
          <w:p w:rsidR="75EEFB82" w:rsidP="5A9AD4E6" w:rsidRDefault="75EEFB82" w14:paraId="323EB145" w14:textId="0C91D9D9">
            <w:pPr>
              <w:pStyle w:val="Normal"/>
              <w:rPr>
                <w:color w:val="000000" w:themeColor="text1" w:themeTint="FF" w:themeShade="FF"/>
                <w:sz w:val="22"/>
                <w:szCs w:val="22"/>
                <w:lang w:val="es-419"/>
              </w:rPr>
            </w:pPr>
            <w:r w:rsidRPr="5A9AD4E6" w:rsidR="75EEFB82">
              <w:rPr>
                <w:color w:val="000000" w:themeColor="text1" w:themeTint="FF" w:themeShade="FF"/>
                <w:sz w:val="22"/>
                <w:szCs w:val="22"/>
                <w:lang w:val="es-419"/>
              </w:rPr>
              <w:t>Esta es solo una visión general</w:t>
            </w:r>
          </w:p>
        </w:tc>
        <w:tc>
          <w:tcPr>
            <w:tcW w:w="1612" w:type="dxa"/>
            <w:tcMar/>
            <w:vAlign w:val="center"/>
          </w:tcPr>
          <w:p w:rsidR="5A9AD4E6" w:rsidP="5A9AD4E6" w:rsidRDefault="5A9AD4E6" w14:paraId="7D093AC6" w14:textId="7C22B9CE">
            <w:pPr>
              <w:pStyle w:val="Normal"/>
              <w:rPr>
                <w:color w:val="000000" w:themeColor="text1" w:themeTint="FF" w:themeShade="FF"/>
                <w:lang w:val="es-419"/>
              </w:rPr>
            </w:pPr>
          </w:p>
        </w:tc>
      </w:tr>
      <w:tr w:rsidR="5A9AD4E6" w:rsidTr="5574D9F5" w14:paraId="045927B6">
        <w:trPr>
          <w:trHeight w:val="800"/>
        </w:trPr>
        <w:tc>
          <w:tcPr>
            <w:tcW w:w="1697" w:type="dxa"/>
            <w:vMerge/>
            <w:tcMar/>
            <w:vAlign w:val="center"/>
          </w:tcPr>
          <w:p w14:paraId="03385F2D"/>
        </w:tc>
        <w:tc>
          <w:tcPr>
            <w:tcW w:w="2835" w:type="dxa"/>
            <w:gridSpan w:val="2"/>
            <w:tcMar/>
          </w:tcPr>
          <w:p w:rsidR="5695E042" w:rsidP="5A9AD4E6" w:rsidRDefault="5695E042" w14:paraId="3FE0555D" w14:textId="0A49BE35">
            <w:pPr>
              <w:pStyle w:val="Normal"/>
              <w:rPr>
                <w:color w:val="000000" w:themeColor="text1" w:themeTint="FF" w:themeShade="FF"/>
                <w:sz w:val="22"/>
                <w:szCs w:val="22"/>
                <w:lang w:val="es-419"/>
              </w:rPr>
            </w:pPr>
            <w:r w:rsidRPr="5A9AD4E6" w:rsidR="5695E042">
              <w:rPr>
                <w:color w:val="000000" w:themeColor="text1" w:themeTint="FF" w:themeShade="FF"/>
                <w:sz w:val="22"/>
                <w:szCs w:val="22"/>
                <w:lang w:val="es-419"/>
              </w:rPr>
              <w:t xml:space="preserve">2.0 </w:t>
            </w:r>
            <w:r w:rsidRPr="5A9AD4E6" w:rsidR="75EEFB82">
              <w:rPr>
                <w:color w:val="000000" w:themeColor="text1" w:themeTint="FF" w:themeShade="FF"/>
                <w:sz w:val="22"/>
                <w:szCs w:val="22"/>
                <w:lang w:val="es-419"/>
              </w:rPr>
              <w:t>Plan de llegada de PGI</w:t>
            </w:r>
          </w:p>
        </w:tc>
        <w:tc>
          <w:tcPr>
            <w:tcW w:w="3121" w:type="dxa"/>
            <w:tcMar/>
            <w:vAlign w:val="center"/>
          </w:tcPr>
          <w:p w:rsidR="75EEFB82" w:rsidP="5A9AD4E6" w:rsidRDefault="75EEFB82" w14:paraId="13C54363" w14:textId="2021D0B0">
            <w:pPr>
              <w:rPr>
                <w:color w:val="000000" w:themeColor="text1" w:themeTint="FF" w:themeShade="FF"/>
                <w:lang w:val="es-419"/>
              </w:rPr>
            </w:pPr>
            <w:r w:rsidRPr="5A9AD4E6" w:rsidR="75EEFB82">
              <w:rPr>
                <w:color w:val="000000" w:themeColor="text1" w:themeTint="FF" w:themeShade="FF"/>
                <w:sz w:val="22"/>
                <w:szCs w:val="22"/>
                <w:lang w:val="es-419"/>
              </w:rPr>
              <w:t>Esta herramienta ayuda a colocar las tareas en orden de prioridad y a planificar los entregables y la coordinación de PGI.</w:t>
            </w:r>
          </w:p>
          <w:p w:rsidR="5A9AD4E6" w:rsidP="5A9AD4E6" w:rsidRDefault="5A9AD4E6" w14:paraId="78E8408F" w14:textId="207E4CBF">
            <w:pPr>
              <w:pStyle w:val="Normal"/>
              <w:rPr>
                <w:color w:val="000000" w:themeColor="text1" w:themeTint="FF" w:themeShade="FF"/>
                <w:sz w:val="22"/>
                <w:szCs w:val="22"/>
                <w:lang w:val="es-419"/>
              </w:rPr>
            </w:pPr>
          </w:p>
        </w:tc>
        <w:tc>
          <w:tcPr>
            <w:tcW w:w="1612" w:type="dxa"/>
            <w:tcMar/>
            <w:vAlign w:val="center"/>
          </w:tcPr>
          <w:p w:rsidR="75EEFB82" w:rsidP="5A9AD4E6" w:rsidRDefault="75EEFB82" w14:paraId="2E3E947D" w14:textId="71E8680B">
            <w:pPr>
              <w:pStyle w:val="Normal"/>
              <w:rPr>
                <w:color w:val="000000" w:themeColor="text1" w:themeTint="FF" w:themeShade="FF"/>
                <w:lang w:val="es-419"/>
              </w:rPr>
            </w:pPr>
            <w:r w:rsidRPr="5A9AD4E6" w:rsidR="75EEFB82">
              <w:rPr>
                <w:color w:val="000000" w:themeColor="text1" w:themeTint="FF" w:themeShade="FF"/>
                <w:lang w:val="es-419"/>
              </w:rPr>
              <w:t>Básico</w:t>
            </w:r>
          </w:p>
        </w:tc>
      </w:tr>
      <w:tr w:rsidRPr="00A24FDB" w:rsidR="007B61D0" w:rsidTr="5574D9F5" w14:paraId="2BCA3230" w14:textId="77777777">
        <w:trPr>
          <w:trHeight w:val="800"/>
        </w:trPr>
        <w:tc>
          <w:tcPr>
            <w:tcW w:w="1697" w:type="dxa"/>
            <w:vMerge/>
            <w:tcMar/>
            <w:vAlign w:val="center"/>
          </w:tcPr>
          <w:p w:rsidRPr="00A24FDB" w:rsidR="007B61D0" w:rsidRDefault="007B61D0" w14:paraId="2D325E68" w14:textId="77777777">
            <w:pPr>
              <w:widowControl w:val="0"/>
              <w:pBdr>
                <w:top w:val="nil"/>
                <w:left w:val="nil"/>
                <w:bottom w:val="nil"/>
                <w:right w:val="nil"/>
                <w:between w:val="nil"/>
              </w:pBdr>
              <w:spacing w:line="276" w:lineRule="auto"/>
              <w:rPr>
                <w:color w:val="000000"/>
                <w:lang w:val="es-419"/>
              </w:rPr>
            </w:pPr>
          </w:p>
        </w:tc>
        <w:tc>
          <w:tcPr>
            <w:tcW w:w="2835" w:type="dxa"/>
            <w:gridSpan w:val="2"/>
            <w:tcMar/>
          </w:tcPr>
          <w:p w:rsidRPr="00A24FDB" w:rsidR="007B61D0" w:rsidRDefault="00A4798E" w14:paraId="005C8B49" w14:textId="262768D3">
            <w:pPr>
              <w:numPr>
                <w:ilvl w:val="1"/>
                <w:numId w:val="4"/>
              </w:numPr>
              <w:pBdr>
                <w:top w:val="nil"/>
                <w:left w:val="nil"/>
                <w:bottom w:val="nil"/>
                <w:right w:val="nil"/>
                <w:between w:val="nil"/>
              </w:pBdr>
              <w:rPr>
                <w:color w:val="000000"/>
                <w:sz w:val="22"/>
                <w:szCs w:val="22"/>
                <w:lang w:val="es-419"/>
              </w:rPr>
            </w:pPr>
            <w:r>
              <w:rPr>
                <w:color w:val="000000"/>
                <w:sz w:val="22"/>
                <w:szCs w:val="22"/>
                <w:lang w:val="es-419"/>
              </w:rPr>
              <w:t xml:space="preserve">Cómo integrar la PGI en los </w:t>
            </w:r>
            <w:proofErr w:type="spellStart"/>
            <w:r>
              <w:rPr>
                <w:color w:val="000000"/>
                <w:sz w:val="22"/>
                <w:szCs w:val="22"/>
                <w:lang w:val="es-419"/>
              </w:rPr>
              <w:t>PdAE</w:t>
            </w:r>
            <w:proofErr w:type="spellEnd"/>
            <w:r w:rsidR="00626565">
              <w:rPr>
                <w:color w:val="000000"/>
                <w:sz w:val="22"/>
                <w:szCs w:val="22"/>
                <w:lang w:val="es-419"/>
              </w:rPr>
              <w:t>/ EPoA</w:t>
            </w:r>
          </w:p>
        </w:tc>
        <w:tc>
          <w:tcPr>
            <w:tcW w:w="3121" w:type="dxa"/>
            <w:vMerge w:val="restart"/>
            <w:tcMar/>
            <w:vAlign w:val="center"/>
          </w:tcPr>
          <w:p w:rsidRPr="00A24FDB" w:rsidR="007B61D0" w:rsidRDefault="00A4798E" w14:paraId="79581847" w14:textId="494E5FFB">
            <w:pPr>
              <w:rPr>
                <w:color w:val="000000"/>
                <w:lang w:val="es-419"/>
              </w:rPr>
            </w:pPr>
            <w:r w:rsidRPr="00A4798E">
              <w:rPr>
                <w:color w:val="000000"/>
                <w:sz w:val="22"/>
                <w:szCs w:val="22"/>
                <w:lang w:val="es-419"/>
              </w:rPr>
              <w:t xml:space="preserve">La intención es que estas herramientas sirvan principalmente como un método para hacer una verificación cruzada de que los elementos básicos incluidos en el diseño inicial del </w:t>
            </w:r>
            <w:proofErr w:type="spellStart"/>
            <w:r w:rsidRPr="00A4798E">
              <w:rPr>
                <w:color w:val="000000"/>
                <w:sz w:val="22"/>
                <w:szCs w:val="22"/>
                <w:lang w:val="es-419"/>
              </w:rPr>
              <w:t>PdAE</w:t>
            </w:r>
            <w:proofErr w:type="spellEnd"/>
            <w:r w:rsidR="00626565">
              <w:rPr>
                <w:color w:val="000000"/>
                <w:sz w:val="22"/>
                <w:szCs w:val="22"/>
                <w:lang w:val="es-419"/>
              </w:rPr>
              <w:t>/EPoA</w:t>
            </w:r>
            <w:r w:rsidRPr="00A4798E">
              <w:rPr>
                <w:color w:val="000000"/>
                <w:sz w:val="22"/>
                <w:szCs w:val="22"/>
                <w:lang w:val="es-419"/>
              </w:rPr>
              <w:t xml:space="preserve"> sean apropiados y correctos. Por lo tanto, se relaciona principalmente con la respuesta, pero </w:t>
            </w:r>
            <w:r w:rsidRPr="00A4798E" w:rsidR="009B2161">
              <w:rPr>
                <w:color w:val="000000"/>
                <w:sz w:val="22"/>
                <w:szCs w:val="22"/>
                <w:lang w:val="es-419"/>
              </w:rPr>
              <w:t>aun</w:t>
            </w:r>
            <w:r w:rsidRPr="00A4798E">
              <w:rPr>
                <w:color w:val="000000"/>
                <w:sz w:val="22"/>
                <w:szCs w:val="22"/>
                <w:lang w:val="es-419"/>
              </w:rPr>
              <w:t xml:space="preserve"> así establece bases firmes para la recuperación inclusiva. El Marcador puede utilizarse para evaluar la integración de PGI en cualquier documento de programación, incluyendo la recuperación</w:t>
            </w:r>
            <w:r w:rsidRPr="00A24FDB" w:rsidR="000C6B6A">
              <w:rPr>
                <w:color w:val="000000"/>
                <w:sz w:val="22"/>
                <w:szCs w:val="22"/>
                <w:lang w:val="es-419"/>
              </w:rPr>
              <w:t>.</w:t>
            </w:r>
          </w:p>
        </w:tc>
        <w:tc>
          <w:tcPr>
            <w:tcW w:w="1612" w:type="dxa"/>
            <w:tcMar/>
            <w:vAlign w:val="center"/>
          </w:tcPr>
          <w:p w:rsidRPr="00A24FDB" w:rsidR="007B61D0" w:rsidRDefault="00421E6F" w14:paraId="43A854CE" w14:textId="4F08A15B">
            <w:pPr>
              <w:rPr>
                <w:color w:val="000000"/>
                <w:lang w:val="es-419"/>
              </w:rPr>
            </w:pPr>
            <w:r>
              <w:rPr>
                <w:color w:val="000000"/>
                <w:sz w:val="22"/>
                <w:szCs w:val="22"/>
                <w:lang w:val="es-419"/>
              </w:rPr>
              <w:t>Novato</w:t>
            </w:r>
          </w:p>
        </w:tc>
      </w:tr>
      <w:tr w:rsidRPr="00A24FDB" w:rsidR="007B61D0" w:rsidTr="5574D9F5" w14:paraId="7ECE9643" w14:textId="77777777">
        <w:trPr>
          <w:trHeight w:val="500"/>
        </w:trPr>
        <w:tc>
          <w:tcPr>
            <w:tcW w:w="1697" w:type="dxa"/>
            <w:vMerge/>
            <w:tcMar/>
            <w:vAlign w:val="center"/>
          </w:tcPr>
          <w:p w:rsidRPr="00A24FDB" w:rsidR="007B61D0" w:rsidRDefault="007B61D0" w14:paraId="06F41CA1" w14:textId="77777777">
            <w:pPr>
              <w:widowControl w:val="0"/>
              <w:pBdr>
                <w:top w:val="nil"/>
                <w:left w:val="nil"/>
                <w:bottom w:val="nil"/>
                <w:right w:val="nil"/>
                <w:between w:val="nil"/>
              </w:pBdr>
              <w:spacing w:line="276" w:lineRule="auto"/>
              <w:rPr>
                <w:color w:val="000000"/>
                <w:lang w:val="es-419"/>
              </w:rPr>
            </w:pPr>
          </w:p>
        </w:tc>
        <w:tc>
          <w:tcPr>
            <w:tcW w:w="2835" w:type="dxa"/>
            <w:gridSpan w:val="2"/>
            <w:tcMar/>
          </w:tcPr>
          <w:p w:rsidRPr="00A24FDB" w:rsidR="007B61D0" w:rsidRDefault="00A4798E" w14:paraId="5DFB0103" w14:textId="73B1691E">
            <w:pPr>
              <w:numPr>
                <w:ilvl w:val="1"/>
                <w:numId w:val="4"/>
              </w:numPr>
              <w:pBdr>
                <w:top w:val="nil"/>
                <w:left w:val="nil"/>
                <w:bottom w:val="nil"/>
                <w:right w:val="nil"/>
                <w:between w:val="nil"/>
              </w:pBdr>
              <w:rPr>
                <w:color w:val="000000"/>
                <w:sz w:val="22"/>
                <w:szCs w:val="22"/>
                <w:lang w:val="es-419"/>
              </w:rPr>
            </w:pPr>
            <w:r w:rsidRPr="00A4798E">
              <w:rPr>
                <w:color w:val="000000"/>
                <w:sz w:val="22"/>
                <w:szCs w:val="22"/>
                <w:lang w:val="es-419"/>
              </w:rPr>
              <w:t xml:space="preserve">Marcador de </w:t>
            </w:r>
            <w:proofErr w:type="spellStart"/>
            <w:r w:rsidRPr="00A4798E">
              <w:rPr>
                <w:color w:val="000000"/>
                <w:sz w:val="22"/>
                <w:szCs w:val="22"/>
                <w:lang w:val="es-419"/>
              </w:rPr>
              <w:t>PdAE</w:t>
            </w:r>
            <w:proofErr w:type="spellEnd"/>
            <w:r w:rsidR="00626565">
              <w:rPr>
                <w:color w:val="000000"/>
                <w:sz w:val="22"/>
                <w:szCs w:val="22"/>
                <w:lang w:val="es-419"/>
              </w:rPr>
              <w:t xml:space="preserve"> /EPoA</w:t>
            </w:r>
          </w:p>
        </w:tc>
        <w:tc>
          <w:tcPr>
            <w:tcW w:w="3121" w:type="dxa"/>
            <w:vMerge/>
            <w:tcMar/>
            <w:vAlign w:val="center"/>
          </w:tcPr>
          <w:p w:rsidRPr="00A24FDB" w:rsidR="007B61D0" w:rsidRDefault="007B61D0" w14:paraId="0162B699" w14:textId="77777777">
            <w:pPr>
              <w:widowControl w:val="0"/>
              <w:pBdr>
                <w:top w:val="nil"/>
                <w:left w:val="nil"/>
                <w:bottom w:val="nil"/>
                <w:right w:val="nil"/>
                <w:between w:val="nil"/>
              </w:pBdr>
              <w:spacing w:line="276" w:lineRule="auto"/>
              <w:rPr>
                <w:color w:val="000000"/>
                <w:sz w:val="22"/>
                <w:szCs w:val="22"/>
                <w:lang w:val="es-419"/>
              </w:rPr>
            </w:pPr>
          </w:p>
        </w:tc>
        <w:tc>
          <w:tcPr>
            <w:tcW w:w="1612" w:type="dxa"/>
            <w:tcMar/>
            <w:vAlign w:val="center"/>
          </w:tcPr>
          <w:p w:rsidRPr="00A24FDB" w:rsidR="007B61D0" w:rsidRDefault="00421E6F" w14:paraId="4303AB47" w14:textId="6D78029F">
            <w:pPr>
              <w:rPr>
                <w:color w:val="000000"/>
                <w:sz w:val="22"/>
                <w:szCs w:val="22"/>
                <w:lang w:val="es-419"/>
              </w:rPr>
            </w:pPr>
            <w:r>
              <w:rPr>
                <w:color w:val="000000"/>
                <w:sz w:val="22"/>
                <w:szCs w:val="22"/>
                <w:lang w:val="es-419"/>
              </w:rPr>
              <w:t>Novato</w:t>
            </w:r>
          </w:p>
        </w:tc>
      </w:tr>
      <w:tr w:rsidRPr="00A24FDB" w:rsidR="007B61D0" w:rsidTr="5574D9F5" w14:paraId="088B0FCD" w14:textId="77777777">
        <w:trPr>
          <w:trHeight w:val="1000"/>
        </w:trPr>
        <w:tc>
          <w:tcPr>
            <w:tcW w:w="1697" w:type="dxa"/>
            <w:vMerge/>
            <w:tcMar/>
            <w:vAlign w:val="center"/>
          </w:tcPr>
          <w:p w:rsidRPr="00A24FDB" w:rsidR="007B61D0" w:rsidRDefault="007B61D0" w14:paraId="56677AFB" w14:textId="77777777">
            <w:pPr>
              <w:widowControl w:val="0"/>
              <w:pBdr>
                <w:top w:val="nil"/>
                <w:left w:val="nil"/>
                <w:bottom w:val="nil"/>
                <w:right w:val="nil"/>
                <w:between w:val="nil"/>
              </w:pBdr>
              <w:spacing w:line="276" w:lineRule="auto"/>
              <w:rPr>
                <w:color w:val="000000"/>
                <w:sz w:val="22"/>
                <w:szCs w:val="22"/>
                <w:lang w:val="es-419"/>
              </w:rPr>
            </w:pPr>
          </w:p>
        </w:tc>
        <w:tc>
          <w:tcPr>
            <w:tcW w:w="2835" w:type="dxa"/>
            <w:gridSpan w:val="2"/>
            <w:tcMar/>
          </w:tcPr>
          <w:p w:rsidRPr="00A24FDB" w:rsidR="007B61D0" w:rsidRDefault="000C6B6A" w14:paraId="5AE5C5B9" w14:textId="49E33560">
            <w:pPr>
              <w:rPr>
                <w:color w:val="000000"/>
                <w:sz w:val="22"/>
                <w:szCs w:val="22"/>
                <w:lang w:val="es-419"/>
              </w:rPr>
            </w:pPr>
            <w:r w:rsidRPr="00A24FDB">
              <w:rPr>
                <w:color w:val="000000"/>
                <w:sz w:val="22"/>
                <w:szCs w:val="22"/>
                <w:lang w:val="es-419"/>
              </w:rPr>
              <w:t xml:space="preserve">2.3 </w:t>
            </w:r>
            <w:r w:rsidR="00A4798E">
              <w:rPr>
                <w:color w:val="000000"/>
                <w:sz w:val="22"/>
                <w:szCs w:val="22"/>
                <w:lang w:val="es-419"/>
              </w:rPr>
              <w:t xml:space="preserve">Plantilla de Presupuesto para </w:t>
            </w:r>
            <w:r w:rsidRPr="00A24FDB">
              <w:rPr>
                <w:color w:val="000000"/>
                <w:sz w:val="22"/>
                <w:szCs w:val="22"/>
                <w:lang w:val="es-419"/>
              </w:rPr>
              <w:t>PGI</w:t>
            </w:r>
          </w:p>
        </w:tc>
        <w:tc>
          <w:tcPr>
            <w:tcW w:w="3121" w:type="dxa"/>
            <w:tcMar/>
            <w:vAlign w:val="center"/>
          </w:tcPr>
          <w:p w:rsidRPr="00A24FDB" w:rsidR="007B61D0" w:rsidRDefault="00A80A13" w14:paraId="3BDF428B" w14:textId="5EC4F9A5">
            <w:pPr>
              <w:rPr>
                <w:color w:val="000000"/>
                <w:sz w:val="22"/>
                <w:szCs w:val="22"/>
                <w:lang w:val="es-419"/>
              </w:rPr>
            </w:pPr>
            <w:r w:rsidRPr="00A80A13">
              <w:rPr>
                <w:color w:val="000000"/>
                <w:sz w:val="22"/>
                <w:szCs w:val="22"/>
                <w:lang w:val="es-419"/>
              </w:rPr>
              <w:t xml:space="preserve">Una plantilla de presupuesto sencilla que puede usarse incluso cuando no se usa un </w:t>
            </w:r>
            <w:proofErr w:type="spellStart"/>
            <w:r w:rsidRPr="00A80A13">
              <w:rPr>
                <w:color w:val="000000"/>
                <w:sz w:val="22"/>
                <w:szCs w:val="22"/>
                <w:lang w:val="es-419"/>
              </w:rPr>
              <w:t>PdAE</w:t>
            </w:r>
            <w:proofErr w:type="spellEnd"/>
            <w:r w:rsidR="00626565">
              <w:rPr>
                <w:color w:val="000000"/>
                <w:sz w:val="22"/>
                <w:szCs w:val="22"/>
                <w:lang w:val="es-419"/>
              </w:rPr>
              <w:t>/EPoA</w:t>
            </w:r>
            <w:r w:rsidRPr="00A80A13">
              <w:rPr>
                <w:color w:val="000000"/>
                <w:sz w:val="22"/>
                <w:szCs w:val="22"/>
                <w:lang w:val="es-419"/>
              </w:rPr>
              <w:t>. Esta se centra en la fase de socorro, pero es crucial para la recuperación inclusiva</w:t>
            </w:r>
            <w:r w:rsidRPr="00A24FDB" w:rsidR="000C6B6A">
              <w:rPr>
                <w:color w:val="000000"/>
                <w:sz w:val="22"/>
                <w:szCs w:val="22"/>
                <w:lang w:val="es-419"/>
              </w:rPr>
              <w:t>.</w:t>
            </w:r>
          </w:p>
        </w:tc>
        <w:tc>
          <w:tcPr>
            <w:tcW w:w="1612" w:type="dxa"/>
            <w:tcMar/>
            <w:vAlign w:val="center"/>
          </w:tcPr>
          <w:p w:rsidRPr="00A24FDB" w:rsidR="007B61D0" w:rsidRDefault="00421E6F" w14:paraId="7F089D64" w14:textId="77872645">
            <w:pPr>
              <w:rPr>
                <w:color w:val="000000"/>
                <w:sz w:val="22"/>
                <w:szCs w:val="22"/>
                <w:lang w:val="es-419"/>
              </w:rPr>
            </w:pPr>
            <w:r>
              <w:rPr>
                <w:color w:val="000000"/>
                <w:sz w:val="22"/>
                <w:szCs w:val="22"/>
                <w:lang w:val="es-419"/>
              </w:rPr>
              <w:t>Novato</w:t>
            </w:r>
          </w:p>
        </w:tc>
      </w:tr>
      <w:tr w:rsidRPr="00A24FDB" w:rsidR="007B61D0" w:rsidTr="5574D9F5" w14:paraId="5FCFF8CB" w14:textId="77777777">
        <w:trPr>
          <w:trHeight w:val="520"/>
        </w:trPr>
        <w:tc>
          <w:tcPr>
            <w:tcW w:w="1697" w:type="dxa"/>
            <w:vMerge/>
            <w:tcMar/>
            <w:vAlign w:val="center"/>
          </w:tcPr>
          <w:p w:rsidRPr="00A24FDB" w:rsidR="007B61D0" w:rsidRDefault="007B61D0" w14:paraId="59E9D25C" w14:textId="77777777">
            <w:pPr>
              <w:widowControl w:val="0"/>
              <w:pBdr>
                <w:top w:val="nil"/>
                <w:left w:val="nil"/>
                <w:bottom w:val="nil"/>
                <w:right w:val="nil"/>
                <w:between w:val="nil"/>
              </w:pBdr>
              <w:spacing w:line="276" w:lineRule="auto"/>
              <w:rPr>
                <w:color w:val="000000"/>
                <w:sz w:val="22"/>
                <w:szCs w:val="22"/>
                <w:lang w:val="es-419"/>
              </w:rPr>
            </w:pPr>
          </w:p>
        </w:tc>
        <w:tc>
          <w:tcPr>
            <w:tcW w:w="2835" w:type="dxa"/>
            <w:gridSpan w:val="2"/>
            <w:tcMar/>
          </w:tcPr>
          <w:p w:rsidRPr="00A24FDB" w:rsidR="007B61D0" w:rsidRDefault="009B2161" w14:paraId="7A37F7AC" w14:textId="641130A5">
            <w:pPr>
              <w:numPr>
                <w:ilvl w:val="1"/>
                <w:numId w:val="6"/>
              </w:numPr>
              <w:pBdr>
                <w:top w:val="nil"/>
                <w:left w:val="nil"/>
                <w:bottom w:val="nil"/>
                <w:right w:val="nil"/>
                <w:between w:val="nil"/>
              </w:pBdr>
              <w:rPr>
                <w:color w:val="000000"/>
                <w:sz w:val="22"/>
                <w:szCs w:val="22"/>
                <w:lang w:val="es-419"/>
              </w:rPr>
            </w:pPr>
            <w:r w:rsidRPr="009B2161">
              <w:rPr>
                <w:color w:val="000000"/>
                <w:sz w:val="22"/>
                <w:szCs w:val="22"/>
                <w:lang w:val="es-419"/>
              </w:rPr>
              <w:t>2.4 Guía de evaluación de protección, género e inclusión, y (2.4.1) biblioteca de preguntas que comprende</w:t>
            </w:r>
            <w:r w:rsidRPr="00A24FDB" w:rsidR="000C6B6A">
              <w:rPr>
                <w:color w:val="000000"/>
                <w:sz w:val="22"/>
                <w:szCs w:val="22"/>
                <w:lang w:val="es-419"/>
              </w:rPr>
              <w:t>:</w:t>
            </w:r>
          </w:p>
          <w:p w:rsidRPr="009B2161" w:rsidR="009B2161" w:rsidP="009B2161" w:rsidRDefault="009B2161" w14:paraId="384C8339" w14:textId="77777777">
            <w:pPr>
              <w:numPr>
                <w:ilvl w:val="0"/>
                <w:numId w:val="5"/>
              </w:numPr>
              <w:pBdr>
                <w:top w:val="nil"/>
                <w:left w:val="nil"/>
                <w:bottom w:val="nil"/>
                <w:right w:val="nil"/>
                <w:between w:val="nil"/>
              </w:pBdr>
              <w:rPr>
                <w:color w:val="000000"/>
                <w:sz w:val="22"/>
                <w:szCs w:val="22"/>
                <w:lang w:val="es-419"/>
              </w:rPr>
            </w:pPr>
            <w:r w:rsidRPr="009B2161">
              <w:rPr>
                <w:color w:val="000000"/>
                <w:sz w:val="22"/>
                <w:szCs w:val="22"/>
                <w:lang w:val="es-419"/>
              </w:rPr>
              <w:t>Análisis secundario rápido de PGI</w:t>
            </w:r>
          </w:p>
          <w:p w:rsidRPr="009B2161" w:rsidR="009B2161" w:rsidP="009B2161" w:rsidRDefault="009B2161" w14:paraId="6A530236" w14:textId="77777777">
            <w:pPr>
              <w:numPr>
                <w:ilvl w:val="0"/>
                <w:numId w:val="5"/>
              </w:numPr>
              <w:pBdr>
                <w:top w:val="nil"/>
                <w:left w:val="nil"/>
                <w:bottom w:val="nil"/>
                <w:right w:val="nil"/>
                <w:between w:val="nil"/>
              </w:pBdr>
              <w:rPr>
                <w:color w:val="000000"/>
                <w:sz w:val="22"/>
                <w:szCs w:val="22"/>
                <w:lang w:val="es-419"/>
              </w:rPr>
            </w:pPr>
            <w:r w:rsidRPr="009B2161">
              <w:rPr>
                <w:color w:val="000000"/>
                <w:sz w:val="22"/>
                <w:szCs w:val="22"/>
                <w:lang w:val="es-419"/>
              </w:rPr>
              <w:t>Análisis rápido de PGI basado en el campo</w:t>
            </w:r>
          </w:p>
          <w:p w:rsidRPr="009B2161" w:rsidR="009B2161" w:rsidP="009B2161" w:rsidRDefault="009B2161" w14:paraId="0D88D006" w14:textId="77777777">
            <w:pPr>
              <w:numPr>
                <w:ilvl w:val="0"/>
                <w:numId w:val="5"/>
              </w:numPr>
              <w:pBdr>
                <w:top w:val="nil"/>
                <w:left w:val="nil"/>
                <w:bottom w:val="nil"/>
                <w:right w:val="nil"/>
                <w:between w:val="nil"/>
              </w:pBdr>
              <w:rPr>
                <w:color w:val="000000"/>
                <w:sz w:val="22"/>
                <w:szCs w:val="22"/>
                <w:lang w:val="es-419"/>
              </w:rPr>
            </w:pPr>
            <w:r w:rsidRPr="009B2161">
              <w:rPr>
                <w:color w:val="000000"/>
                <w:sz w:val="22"/>
                <w:szCs w:val="22"/>
                <w:lang w:val="es-419"/>
              </w:rPr>
              <w:t>Orientación de SADD</w:t>
            </w:r>
          </w:p>
          <w:p w:rsidRPr="009B2161" w:rsidR="009B2161" w:rsidP="009B2161" w:rsidRDefault="009B2161" w14:paraId="54A13A10" w14:textId="77777777">
            <w:pPr>
              <w:numPr>
                <w:ilvl w:val="0"/>
                <w:numId w:val="5"/>
              </w:numPr>
              <w:pBdr>
                <w:top w:val="nil"/>
                <w:left w:val="nil"/>
                <w:bottom w:val="nil"/>
                <w:right w:val="nil"/>
                <w:between w:val="nil"/>
              </w:pBdr>
              <w:rPr>
                <w:color w:val="000000"/>
                <w:sz w:val="22"/>
                <w:szCs w:val="22"/>
                <w:lang w:val="es-419"/>
              </w:rPr>
            </w:pPr>
            <w:r w:rsidRPr="009B2161">
              <w:rPr>
                <w:color w:val="000000"/>
                <w:sz w:val="22"/>
                <w:szCs w:val="22"/>
                <w:lang w:val="es-419"/>
              </w:rPr>
              <w:t>Preguntas de evaluación sectorial</w:t>
            </w:r>
          </w:p>
          <w:p w:rsidRPr="009B2161" w:rsidR="009B2161" w:rsidP="009B2161" w:rsidRDefault="009B2161" w14:paraId="483D6761" w14:textId="77777777">
            <w:pPr>
              <w:numPr>
                <w:ilvl w:val="0"/>
                <w:numId w:val="5"/>
              </w:numPr>
              <w:pBdr>
                <w:top w:val="nil"/>
                <w:left w:val="nil"/>
                <w:bottom w:val="nil"/>
                <w:right w:val="nil"/>
                <w:between w:val="nil"/>
              </w:pBdr>
              <w:rPr>
                <w:color w:val="000000"/>
                <w:sz w:val="22"/>
                <w:szCs w:val="22"/>
                <w:lang w:val="es-419"/>
              </w:rPr>
            </w:pPr>
            <w:r w:rsidRPr="009B2161">
              <w:rPr>
                <w:color w:val="000000"/>
                <w:sz w:val="22"/>
                <w:szCs w:val="22"/>
                <w:lang w:val="es-419"/>
              </w:rPr>
              <w:t>Evaluación de capacidades en PGI</w:t>
            </w:r>
          </w:p>
          <w:p w:rsidRPr="00A24FDB" w:rsidR="007B61D0" w:rsidP="009B2161" w:rsidRDefault="009B2161" w14:paraId="0EC3D0A2" w14:textId="065612ED">
            <w:pPr>
              <w:numPr>
                <w:ilvl w:val="0"/>
                <w:numId w:val="5"/>
              </w:numPr>
              <w:pBdr>
                <w:top w:val="nil"/>
                <w:left w:val="nil"/>
                <w:bottom w:val="nil"/>
                <w:right w:val="nil"/>
                <w:between w:val="nil"/>
              </w:pBdr>
              <w:rPr>
                <w:color w:val="000000"/>
                <w:sz w:val="22"/>
                <w:szCs w:val="22"/>
                <w:lang w:val="es-419"/>
              </w:rPr>
            </w:pPr>
            <w:r w:rsidRPr="009B2161">
              <w:rPr>
                <w:color w:val="000000"/>
                <w:sz w:val="22"/>
                <w:szCs w:val="22"/>
                <w:lang w:val="es-419"/>
              </w:rPr>
              <w:t>Evaluación de riesgos de PEA</w:t>
            </w:r>
            <w:r w:rsidR="00543DBF">
              <w:rPr>
                <w:color w:val="000000"/>
                <w:sz w:val="22"/>
                <w:szCs w:val="22"/>
                <w:lang w:val="es-419"/>
              </w:rPr>
              <w:t>S</w:t>
            </w:r>
          </w:p>
          <w:p w:rsidRPr="00A24FDB" w:rsidR="007B61D0" w:rsidRDefault="007B61D0" w14:paraId="09278F20" w14:textId="77777777">
            <w:pPr>
              <w:rPr>
                <w:color w:val="000000"/>
                <w:sz w:val="22"/>
                <w:szCs w:val="22"/>
                <w:lang w:val="es-419"/>
              </w:rPr>
            </w:pPr>
          </w:p>
        </w:tc>
        <w:tc>
          <w:tcPr>
            <w:tcW w:w="3121" w:type="dxa"/>
            <w:tcMar/>
            <w:vAlign w:val="center"/>
          </w:tcPr>
          <w:p w:rsidRPr="00A24FDB" w:rsidR="007B61D0" w:rsidRDefault="009B2161" w14:paraId="4DAA81E9" w14:textId="7AD50E08">
            <w:pPr>
              <w:rPr>
                <w:color w:val="000000"/>
                <w:sz w:val="22"/>
                <w:szCs w:val="22"/>
                <w:lang w:val="es-419"/>
              </w:rPr>
            </w:pPr>
            <w:r>
              <w:rPr>
                <w:color w:val="000000"/>
                <w:sz w:val="22"/>
                <w:szCs w:val="22"/>
                <w:lang w:val="es-419"/>
              </w:rPr>
              <w:t xml:space="preserve">El </w:t>
            </w:r>
            <w:r w:rsidRPr="009B2161">
              <w:rPr>
                <w:color w:val="000000"/>
                <w:sz w:val="22"/>
                <w:szCs w:val="22"/>
                <w:lang w:val="es-419"/>
              </w:rPr>
              <w:t>Análisis rápido de PGI</w:t>
            </w:r>
            <w:r>
              <w:rPr>
                <w:color w:val="000000"/>
                <w:sz w:val="22"/>
                <w:szCs w:val="22"/>
                <w:lang w:val="es-419"/>
              </w:rPr>
              <w:t xml:space="preserve"> está listo para usarse en todas las fases del ciclo del desastre</w:t>
            </w:r>
            <w:r w:rsidRPr="00A24FDB" w:rsidR="000C6B6A">
              <w:rPr>
                <w:color w:val="000000"/>
                <w:sz w:val="22"/>
                <w:szCs w:val="22"/>
                <w:lang w:val="es-419"/>
              </w:rPr>
              <w:t>.</w:t>
            </w:r>
          </w:p>
          <w:p w:rsidRPr="00A24FDB" w:rsidR="007B61D0" w:rsidRDefault="007B61D0" w14:paraId="2146A5D5" w14:textId="77777777">
            <w:pPr>
              <w:rPr>
                <w:color w:val="000000"/>
                <w:sz w:val="22"/>
                <w:szCs w:val="22"/>
                <w:lang w:val="es-419"/>
              </w:rPr>
            </w:pPr>
          </w:p>
          <w:p w:rsidRPr="00A24FDB" w:rsidR="007B61D0" w:rsidRDefault="009B2161" w14:paraId="2E549C38" w14:textId="0D432CB6">
            <w:pPr>
              <w:rPr>
                <w:color w:val="000000"/>
                <w:sz w:val="22"/>
                <w:szCs w:val="22"/>
                <w:lang w:val="es-419"/>
              </w:rPr>
            </w:pPr>
            <w:r w:rsidRPr="009B2161">
              <w:rPr>
                <w:color w:val="000000"/>
                <w:sz w:val="22"/>
                <w:szCs w:val="22"/>
                <w:lang w:val="es-419"/>
              </w:rPr>
              <w:t>Las otras herramientas aplican a ambas fases, el enfoque general de la evaluación es el mismo y cada herramienta en la hoja de cálculo está marcada con una 'x' si la pregunta aplica a las evaluaciones y planificación de recuperación</w:t>
            </w:r>
            <w:r w:rsidRPr="00A24FDB" w:rsidR="000C6B6A">
              <w:rPr>
                <w:color w:val="000000"/>
                <w:sz w:val="22"/>
                <w:szCs w:val="22"/>
                <w:lang w:val="es-419"/>
              </w:rPr>
              <w:t>.</w:t>
            </w:r>
          </w:p>
          <w:p w:rsidRPr="00A24FDB" w:rsidR="007B61D0" w:rsidRDefault="007B61D0" w14:paraId="7EF9E0E3" w14:textId="77777777">
            <w:pPr>
              <w:rPr>
                <w:color w:val="000000"/>
                <w:sz w:val="22"/>
                <w:szCs w:val="22"/>
                <w:lang w:val="es-419"/>
              </w:rPr>
            </w:pPr>
          </w:p>
          <w:p w:rsidRPr="00A24FDB" w:rsidR="007B61D0" w:rsidRDefault="007B61D0" w14:paraId="53356EC8" w14:textId="77777777">
            <w:pPr>
              <w:rPr>
                <w:color w:val="000000"/>
                <w:sz w:val="22"/>
                <w:szCs w:val="22"/>
                <w:lang w:val="es-419"/>
              </w:rPr>
            </w:pPr>
          </w:p>
        </w:tc>
        <w:tc>
          <w:tcPr>
            <w:tcW w:w="1612" w:type="dxa"/>
            <w:tcMar/>
            <w:vAlign w:val="center"/>
          </w:tcPr>
          <w:p w:rsidRPr="00A24FDB" w:rsidR="007B61D0" w:rsidRDefault="00421E6F" w14:paraId="43E7D47C" w14:textId="6347BE27">
            <w:pPr>
              <w:rPr>
                <w:color w:val="000000"/>
                <w:sz w:val="22"/>
                <w:szCs w:val="22"/>
                <w:lang w:val="es-419"/>
              </w:rPr>
            </w:pPr>
            <w:r>
              <w:rPr>
                <w:color w:val="000000"/>
                <w:sz w:val="22"/>
                <w:szCs w:val="22"/>
                <w:lang w:val="es-419"/>
              </w:rPr>
              <w:t>Novato</w:t>
            </w:r>
            <w:r w:rsidRPr="00A24FDB" w:rsidR="000C6B6A">
              <w:rPr>
                <w:color w:val="000000"/>
                <w:sz w:val="22"/>
                <w:szCs w:val="22"/>
                <w:lang w:val="es-419"/>
              </w:rPr>
              <w:t xml:space="preserve"> </w:t>
            </w:r>
          </w:p>
          <w:p w:rsidRPr="00A24FDB" w:rsidR="007B61D0" w:rsidRDefault="007B61D0" w14:paraId="2FCF6D1E" w14:textId="77777777">
            <w:pPr>
              <w:rPr>
                <w:color w:val="000000"/>
                <w:sz w:val="22"/>
                <w:szCs w:val="22"/>
                <w:lang w:val="es-419"/>
              </w:rPr>
            </w:pPr>
          </w:p>
          <w:p w:rsidRPr="00A24FDB" w:rsidR="007B61D0" w:rsidRDefault="007B61D0" w14:paraId="4399EA18" w14:textId="77777777">
            <w:pPr>
              <w:rPr>
                <w:color w:val="000000"/>
                <w:sz w:val="22"/>
                <w:szCs w:val="22"/>
                <w:lang w:val="es-419"/>
              </w:rPr>
            </w:pPr>
          </w:p>
          <w:p w:rsidRPr="00A24FDB" w:rsidR="007B61D0" w:rsidRDefault="00421E6F" w14:paraId="02B67E87" w14:textId="03DE0DF3">
            <w:pPr>
              <w:rPr>
                <w:color w:val="000000"/>
                <w:sz w:val="22"/>
                <w:szCs w:val="22"/>
                <w:lang w:val="es-419"/>
              </w:rPr>
            </w:pPr>
            <w:r>
              <w:rPr>
                <w:color w:val="000000"/>
                <w:sz w:val="22"/>
                <w:szCs w:val="22"/>
                <w:lang w:val="es-419"/>
              </w:rPr>
              <w:t>Básico</w:t>
            </w:r>
          </w:p>
          <w:p w:rsidRPr="00A24FDB" w:rsidR="007B61D0" w:rsidRDefault="007B61D0" w14:paraId="2E20B26C" w14:textId="77777777">
            <w:pPr>
              <w:rPr>
                <w:color w:val="000000"/>
                <w:sz w:val="22"/>
                <w:szCs w:val="22"/>
                <w:lang w:val="es-419"/>
              </w:rPr>
            </w:pPr>
          </w:p>
          <w:p w:rsidRPr="00A24FDB" w:rsidR="007B61D0" w:rsidRDefault="007B61D0" w14:paraId="3769A79D" w14:textId="77777777">
            <w:pPr>
              <w:rPr>
                <w:color w:val="000000"/>
                <w:sz w:val="22"/>
                <w:szCs w:val="22"/>
                <w:lang w:val="es-419"/>
              </w:rPr>
            </w:pPr>
          </w:p>
          <w:p w:rsidRPr="00A24FDB" w:rsidR="007B61D0" w:rsidRDefault="007B61D0" w14:paraId="6B4FFC5D" w14:textId="77777777">
            <w:pPr>
              <w:rPr>
                <w:color w:val="000000"/>
                <w:sz w:val="22"/>
                <w:szCs w:val="22"/>
                <w:lang w:val="es-419"/>
              </w:rPr>
            </w:pPr>
          </w:p>
          <w:p w:rsidRPr="00A24FDB" w:rsidR="007B61D0" w:rsidRDefault="007B61D0" w14:paraId="76915CD0" w14:textId="77777777">
            <w:pPr>
              <w:rPr>
                <w:color w:val="000000"/>
                <w:sz w:val="22"/>
                <w:szCs w:val="22"/>
                <w:lang w:val="es-419"/>
              </w:rPr>
            </w:pPr>
          </w:p>
          <w:p w:rsidRPr="00A24FDB" w:rsidR="007B61D0" w:rsidRDefault="007B61D0" w14:paraId="41A2A075" w14:textId="77777777">
            <w:pPr>
              <w:rPr>
                <w:color w:val="000000"/>
                <w:sz w:val="22"/>
                <w:szCs w:val="22"/>
                <w:lang w:val="es-419"/>
              </w:rPr>
            </w:pPr>
          </w:p>
          <w:p w:rsidRPr="00A24FDB" w:rsidR="007B61D0" w:rsidRDefault="007B61D0" w14:paraId="16F27CF3" w14:textId="77777777">
            <w:pPr>
              <w:rPr>
                <w:color w:val="000000"/>
                <w:sz w:val="22"/>
                <w:szCs w:val="22"/>
                <w:lang w:val="es-419"/>
              </w:rPr>
            </w:pPr>
          </w:p>
          <w:p w:rsidRPr="00A24FDB" w:rsidR="007B61D0" w:rsidRDefault="00421E6F" w14:paraId="6FB044F3" w14:textId="7309B2BB">
            <w:pPr>
              <w:rPr>
                <w:color w:val="000000"/>
                <w:sz w:val="22"/>
                <w:szCs w:val="22"/>
                <w:lang w:val="es-419"/>
              </w:rPr>
            </w:pPr>
            <w:r>
              <w:rPr>
                <w:color w:val="000000"/>
                <w:sz w:val="22"/>
                <w:szCs w:val="22"/>
                <w:lang w:val="es-419"/>
              </w:rPr>
              <w:t>Básico</w:t>
            </w:r>
          </w:p>
          <w:p w:rsidRPr="00A24FDB" w:rsidR="007B61D0" w:rsidRDefault="00421E6F" w14:paraId="585213D7" w14:textId="622E7A39">
            <w:pPr>
              <w:rPr>
                <w:color w:val="000000"/>
                <w:sz w:val="22"/>
                <w:szCs w:val="22"/>
                <w:lang w:val="es-419"/>
              </w:rPr>
            </w:pPr>
            <w:r>
              <w:rPr>
                <w:color w:val="000000"/>
                <w:sz w:val="22"/>
                <w:szCs w:val="22"/>
                <w:lang w:val="es-419"/>
              </w:rPr>
              <w:t>Experimentado</w:t>
            </w:r>
          </w:p>
        </w:tc>
      </w:tr>
      <w:tr w:rsidRPr="00A24FDB" w:rsidR="007B61D0" w:rsidTr="5574D9F5" w14:paraId="61669F3B" w14:textId="77777777">
        <w:trPr>
          <w:trHeight w:val="1000"/>
        </w:trPr>
        <w:tc>
          <w:tcPr>
            <w:tcW w:w="1697" w:type="dxa"/>
            <w:vMerge/>
            <w:tcMar/>
            <w:vAlign w:val="center"/>
          </w:tcPr>
          <w:p w:rsidRPr="00A24FDB" w:rsidR="007B61D0" w:rsidRDefault="007B61D0" w14:paraId="48886DD8" w14:textId="77777777">
            <w:pPr>
              <w:widowControl w:val="0"/>
              <w:pBdr>
                <w:top w:val="nil"/>
                <w:left w:val="nil"/>
                <w:bottom w:val="nil"/>
                <w:right w:val="nil"/>
                <w:between w:val="nil"/>
              </w:pBdr>
              <w:spacing w:line="276" w:lineRule="auto"/>
              <w:rPr>
                <w:color w:val="000000"/>
                <w:sz w:val="22"/>
                <w:szCs w:val="22"/>
                <w:lang w:val="es-419"/>
              </w:rPr>
            </w:pPr>
          </w:p>
        </w:tc>
        <w:tc>
          <w:tcPr>
            <w:tcW w:w="2835" w:type="dxa"/>
            <w:gridSpan w:val="2"/>
            <w:tcMar/>
          </w:tcPr>
          <w:p w:rsidRPr="00A24FDB" w:rsidR="007B61D0" w:rsidRDefault="009B2161" w14:paraId="34EAD91A" w14:textId="6E10CB65">
            <w:pPr>
              <w:numPr>
                <w:ilvl w:val="1"/>
                <w:numId w:val="6"/>
              </w:numPr>
              <w:pBdr>
                <w:top w:val="nil"/>
                <w:left w:val="nil"/>
                <w:bottom w:val="nil"/>
                <w:right w:val="nil"/>
                <w:between w:val="nil"/>
              </w:pBdr>
              <w:rPr>
                <w:color w:val="000000"/>
                <w:sz w:val="22"/>
                <w:szCs w:val="22"/>
                <w:lang w:val="es-419"/>
              </w:rPr>
            </w:pPr>
            <w:r w:rsidRPr="009B2161">
              <w:rPr>
                <w:color w:val="000000"/>
                <w:sz w:val="22"/>
                <w:szCs w:val="22"/>
                <w:lang w:val="es-419"/>
              </w:rPr>
              <w:t>Plantilla de Análisis de Evaluación Rápida de PGI</w:t>
            </w:r>
          </w:p>
        </w:tc>
        <w:tc>
          <w:tcPr>
            <w:tcW w:w="3121" w:type="dxa"/>
            <w:tcMar/>
            <w:vAlign w:val="center"/>
          </w:tcPr>
          <w:p w:rsidRPr="00A24FDB" w:rsidR="007B61D0" w:rsidRDefault="009B2161" w14:paraId="309787EC" w14:textId="43460DC3">
            <w:pPr>
              <w:rPr>
                <w:color w:val="000000"/>
                <w:sz w:val="22"/>
                <w:szCs w:val="22"/>
                <w:lang w:val="es-419"/>
              </w:rPr>
            </w:pPr>
            <w:r>
              <w:rPr>
                <w:color w:val="000000"/>
                <w:sz w:val="22"/>
                <w:szCs w:val="22"/>
                <w:lang w:val="es-419"/>
              </w:rPr>
              <w:t>Igual a arriba</w:t>
            </w:r>
          </w:p>
        </w:tc>
        <w:tc>
          <w:tcPr>
            <w:tcW w:w="1612" w:type="dxa"/>
            <w:tcMar/>
            <w:vAlign w:val="center"/>
          </w:tcPr>
          <w:p w:rsidRPr="00A24FDB" w:rsidR="007B61D0" w:rsidRDefault="00421E6F" w14:paraId="40463B88" w14:textId="55D623A3">
            <w:pPr>
              <w:rPr>
                <w:color w:val="000000"/>
                <w:sz w:val="22"/>
                <w:szCs w:val="22"/>
                <w:lang w:val="es-419"/>
              </w:rPr>
            </w:pPr>
            <w:r>
              <w:rPr>
                <w:color w:val="000000"/>
                <w:sz w:val="22"/>
                <w:szCs w:val="22"/>
                <w:lang w:val="es-419"/>
              </w:rPr>
              <w:t>Básico</w:t>
            </w:r>
          </w:p>
        </w:tc>
      </w:tr>
      <w:tr w:rsidRPr="00A24FDB" w:rsidR="007B61D0" w:rsidTr="5574D9F5" w14:paraId="11876A16" w14:textId="77777777">
        <w:trPr>
          <w:trHeight w:val="1000"/>
        </w:trPr>
        <w:tc>
          <w:tcPr>
            <w:tcW w:w="1697" w:type="dxa"/>
            <w:vMerge/>
            <w:tcMar/>
            <w:vAlign w:val="center"/>
          </w:tcPr>
          <w:p w:rsidRPr="00A24FDB" w:rsidR="007B61D0" w:rsidRDefault="007B61D0" w14:paraId="38F77792" w14:textId="77777777">
            <w:pPr>
              <w:widowControl w:val="0"/>
              <w:pBdr>
                <w:top w:val="nil"/>
                <w:left w:val="nil"/>
                <w:bottom w:val="nil"/>
                <w:right w:val="nil"/>
                <w:between w:val="nil"/>
              </w:pBdr>
              <w:spacing w:line="276" w:lineRule="auto"/>
              <w:rPr>
                <w:color w:val="000000"/>
                <w:sz w:val="22"/>
                <w:szCs w:val="22"/>
                <w:lang w:val="es-419"/>
              </w:rPr>
            </w:pPr>
          </w:p>
        </w:tc>
        <w:tc>
          <w:tcPr>
            <w:tcW w:w="2835" w:type="dxa"/>
            <w:gridSpan w:val="2"/>
            <w:tcMar/>
          </w:tcPr>
          <w:p w:rsidRPr="00A24FDB" w:rsidR="007B61D0" w:rsidRDefault="00A9020B" w14:paraId="08B2ED6A" w14:textId="7313FC84">
            <w:pPr>
              <w:numPr>
                <w:ilvl w:val="1"/>
                <w:numId w:val="6"/>
              </w:numPr>
              <w:pBdr>
                <w:top w:val="nil"/>
                <w:left w:val="nil"/>
                <w:bottom w:val="nil"/>
                <w:right w:val="nil"/>
                <w:between w:val="nil"/>
              </w:pBdr>
              <w:rPr>
                <w:color w:val="000000"/>
                <w:sz w:val="22"/>
                <w:szCs w:val="22"/>
                <w:lang w:val="es-419"/>
              </w:rPr>
            </w:pPr>
            <w:r w:rsidRPr="00A9020B">
              <w:rPr>
                <w:color w:val="000000"/>
                <w:sz w:val="22"/>
                <w:szCs w:val="22"/>
                <w:lang w:val="es-419"/>
              </w:rPr>
              <w:t xml:space="preserve">Guía de planificación de Discusiones </w:t>
            </w:r>
            <w:r w:rsidR="00F37D35">
              <w:rPr>
                <w:color w:val="000000"/>
                <w:sz w:val="22"/>
                <w:szCs w:val="22"/>
                <w:lang w:val="es-419"/>
              </w:rPr>
              <w:t>con</w:t>
            </w:r>
            <w:r w:rsidRPr="00A9020B">
              <w:rPr>
                <w:color w:val="000000"/>
                <w:sz w:val="22"/>
                <w:szCs w:val="22"/>
                <w:lang w:val="es-419"/>
              </w:rPr>
              <w:t xml:space="preserve"> Grupos Focales de PGI</w:t>
            </w:r>
          </w:p>
        </w:tc>
        <w:tc>
          <w:tcPr>
            <w:tcW w:w="3121" w:type="dxa"/>
            <w:tcMar/>
            <w:vAlign w:val="center"/>
          </w:tcPr>
          <w:p w:rsidRPr="00A24FDB" w:rsidR="007B61D0" w:rsidRDefault="00A9020B" w14:paraId="534AB906" w14:textId="2E07A31D">
            <w:pPr>
              <w:rPr>
                <w:color w:val="000000"/>
                <w:sz w:val="22"/>
                <w:szCs w:val="22"/>
                <w:lang w:val="es-419"/>
              </w:rPr>
            </w:pPr>
            <w:r w:rsidRPr="00A9020B">
              <w:rPr>
                <w:color w:val="000000"/>
                <w:sz w:val="22"/>
                <w:szCs w:val="22"/>
                <w:lang w:val="es-419"/>
              </w:rPr>
              <w:t>El enfoque es el mismo de principio a fin, aunque algunas preguntas deben ajustarse para tocar un punto en el tiempo</w:t>
            </w:r>
            <w:r w:rsidRPr="00A24FDB" w:rsidR="000C6B6A">
              <w:rPr>
                <w:color w:val="000000"/>
                <w:sz w:val="22"/>
                <w:szCs w:val="22"/>
                <w:lang w:val="es-419"/>
              </w:rPr>
              <w:t xml:space="preserve">. </w:t>
            </w:r>
          </w:p>
        </w:tc>
        <w:tc>
          <w:tcPr>
            <w:tcW w:w="1612" w:type="dxa"/>
            <w:tcMar/>
            <w:vAlign w:val="center"/>
          </w:tcPr>
          <w:p w:rsidRPr="00A24FDB" w:rsidR="007B61D0" w:rsidRDefault="00421E6F" w14:paraId="74A8F9E3" w14:textId="0D6B5239">
            <w:pPr>
              <w:rPr>
                <w:color w:val="000000"/>
                <w:sz w:val="22"/>
                <w:szCs w:val="22"/>
                <w:lang w:val="es-419"/>
              </w:rPr>
            </w:pPr>
            <w:r>
              <w:rPr>
                <w:color w:val="000000"/>
                <w:sz w:val="22"/>
                <w:szCs w:val="22"/>
                <w:lang w:val="es-419"/>
              </w:rPr>
              <w:t>Experimentado</w:t>
            </w:r>
          </w:p>
        </w:tc>
      </w:tr>
      <w:tr w:rsidR="5A9AD4E6" w:rsidTr="5574D9F5" w14:paraId="1ACAFA74">
        <w:trPr>
          <w:trHeight w:val="900"/>
        </w:trPr>
        <w:tc>
          <w:tcPr>
            <w:tcW w:w="1697" w:type="dxa"/>
            <w:vMerge w:val="restart"/>
            <w:tcMar/>
            <w:vAlign w:val="center"/>
          </w:tcPr>
          <w:p w:rsidR="5A9AD4E6" w:rsidP="5A9AD4E6" w:rsidRDefault="5A9AD4E6" w14:paraId="51003A7C" w14:textId="0FC6FD3D">
            <w:pPr>
              <w:pStyle w:val="Normal"/>
              <w:rPr>
                <w:b w:val="1"/>
                <w:bCs w:val="1"/>
                <w:color w:val="000000" w:themeColor="text1" w:themeTint="FF" w:themeShade="FF"/>
                <w:sz w:val="22"/>
                <w:szCs w:val="22"/>
                <w:lang w:val="es-419"/>
              </w:rPr>
            </w:pPr>
          </w:p>
          <w:p w:rsidR="5A9AD4E6" w:rsidP="5A9AD4E6" w:rsidRDefault="5A9AD4E6" w14:paraId="593FE12B" w14:textId="153F4B25">
            <w:pPr>
              <w:pStyle w:val="Normal"/>
              <w:rPr>
                <w:b w:val="1"/>
                <w:bCs w:val="1"/>
                <w:color w:val="000000" w:themeColor="text1" w:themeTint="FF" w:themeShade="FF"/>
                <w:sz w:val="22"/>
                <w:szCs w:val="22"/>
                <w:lang w:val="es-419"/>
              </w:rPr>
            </w:pPr>
          </w:p>
          <w:p w:rsidR="000C6B6A" w:rsidP="5A9AD4E6" w:rsidRDefault="000C6B6A" w14:paraId="510CD377" w14:noSpellErr="1" w14:textId="228EBA7F">
            <w:pPr>
              <w:rPr>
                <w:b w:val="1"/>
                <w:bCs w:val="1"/>
                <w:color w:val="000000" w:themeColor="text1" w:themeTint="FF" w:themeShade="FF"/>
                <w:sz w:val="22"/>
                <w:szCs w:val="22"/>
                <w:lang w:val="es-419"/>
              </w:rPr>
            </w:pPr>
            <w:r w:rsidRPr="5A9AD4E6" w:rsidR="000C6B6A">
              <w:rPr>
                <w:b w:val="1"/>
                <w:bCs w:val="1"/>
                <w:color w:val="000000" w:themeColor="text1" w:themeTint="FF" w:themeShade="FF"/>
                <w:sz w:val="22"/>
                <w:szCs w:val="22"/>
                <w:lang w:val="es-419"/>
              </w:rPr>
              <w:t xml:space="preserve">3. </w:t>
            </w:r>
            <w:r w:rsidRPr="5A9AD4E6" w:rsidR="1A8902DF">
              <w:rPr>
                <w:b w:val="1"/>
                <w:bCs w:val="1"/>
                <w:color w:val="000000" w:themeColor="text1" w:themeTint="FF" w:themeShade="FF"/>
                <w:sz w:val="22"/>
                <w:szCs w:val="22"/>
                <w:lang w:val="es-419"/>
              </w:rPr>
              <w:t>Implementación</w:t>
            </w:r>
          </w:p>
        </w:tc>
        <w:tc>
          <w:tcPr>
            <w:tcW w:w="2835" w:type="dxa"/>
            <w:gridSpan w:val="2"/>
            <w:tcMar/>
          </w:tcPr>
          <w:p w:rsidR="0BA8006B" w:rsidP="5A9AD4E6" w:rsidRDefault="0BA8006B" w14:paraId="7113BC7B" w14:textId="09A15EAA">
            <w:pPr>
              <w:pStyle w:val="Normal"/>
              <w:rPr>
                <w:color w:val="000000" w:themeColor="text1" w:themeTint="FF" w:themeShade="FF"/>
                <w:sz w:val="22"/>
                <w:szCs w:val="22"/>
                <w:lang w:val="es-419"/>
              </w:rPr>
            </w:pPr>
            <w:r w:rsidRPr="5A9AD4E6" w:rsidR="0BA8006B">
              <w:rPr>
                <w:color w:val="000000" w:themeColor="text1" w:themeTint="FF" w:themeShade="FF"/>
                <w:sz w:val="22"/>
                <w:szCs w:val="22"/>
                <w:lang w:val="es-419"/>
              </w:rPr>
              <w:t>Implementación</w:t>
            </w:r>
          </w:p>
        </w:tc>
        <w:tc>
          <w:tcPr>
            <w:tcW w:w="3121" w:type="dxa"/>
            <w:tcMar/>
          </w:tcPr>
          <w:p w:rsidR="0BA8006B" w:rsidP="5A9AD4E6" w:rsidRDefault="0BA8006B" w14:paraId="4FBFC5EE" w14:textId="37662D46">
            <w:pPr>
              <w:pStyle w:val="Normal"/>
              <w:rPr>
                <w:color w:val="000000" w:themeColor="text1" w:themeTint="FF" w:themeShade="FF"/>
                <w:sz w:val="22"/>
                <w:szCs w:val="22"/>
                <w:lang w:val="es-419"/>
              </w:rPr>
            </w:pPr>
            <w:r w:rsidRPr="5A9AD4E6" w:rsidR="0BA8006B">
              <w:rPr>
                <w:color w:val="000000" w:themeColor="text1" w:themeTint="FF" w:themeShade="FF"/>
                <w:sz w:val="22"/>
                <w:szCs w:val="22"/>
                <w:lang w:val="es-419"/>
              </w:rPr>
              <w:t>Esta es solo una visión general</w:t>
            </w:r>
          </w:p>
        </w:tc>
        <w:tc>
          <w:tcPr>
            <w:tcW w:w="1612" w:type="dxa"/>
            <w:tcMar/>
          </w:tcPr>
          <w:p w:rsidR="5A9AD4E6" w:rsidP="5A9AD4E6" w:rsidRDefault="5A9AD4E6" w14:paraId="64B92D1B" w14:textId="18B8DBA5">
            <w:pPr>
              <w:pStyle w:val="Normal"/>
              <w:rPr>
                <w:color w:val="000000" w:themeColor="text1" w:themeTint="FF" w:themeShade="FF"/>
                <w:sz w:val="22"/>
                <w:szCs w:val="22"/>
                <w:lang w:val="es-419"/>
              </w:rPr>
            </w:pPr>
          </w:p>
        </w:tc>
      </w:tr>
      <w:tr w:rsidR="5A9AD4E6" w:rsidTr="5574D9F5" w14:paraId="04192F7F">
        <w:trPr>
          <w:trHeight w:val="900"/>
        </w:trPr>
        <w:tc>
          <w:tcPr>
            <w:tcW w:w="1697" w:type="dxa"/>
            <w:vMerge/>
            <w:tcMar/>
            <w:vAlign w:val="center"/>
          </w:tcPr>
          <w:p w14:paraId="03EDEC5C"/>
        </w:tc>
        <w:tc>
          <w:tcPr>
            <w:tcW w:w="2835" w:type="dxa"/>
            <w:gridSpan w:val="2"/>
            <w:tcMar/>
          </w:tcPr>
          <w:p w:rsidR="249A8547" w:rsidP="5A9AD4E6" w:rsidRDefault="249A8547" w14:paraId="62633230" w14:textId="1A31B84D">
            <w:pPr>
              <w:ind w:left="0"/>
              <w:rPr>
                <w:color w:val="000000" w:themeColor="text1" w:themeTint="FF" w:themeShade="FF"/>
                <w:sz w:val="22"/>
                <w:szCs w:val="22"/>
                <w:lang w:val="es-419"/>
              </w:rPr>
            </w:pPr>
            <w:r w:rsidRPr="5A9AD4E6" w:rsidR="249A8547">
              <w:rPr>
                <w:color w:val="000000" w:themeColor="text1" w:themeTint="FF" w:themeShade="FF"/>
                <w:sz w:val="22"/>
                <w:szCs w:val="22"/>
                <w:lang w:val="es-419"/>
              </w:rPr>
              <w:t>3.0 Resúmenes Informativos sobre PGI</w:t>
            </w:r>
          </w:p>
          <w:p w:rsidR="5A9AD4E6" w:rsidP="5A9AD4E6" w:rsidRDefault="5A9AD4E6" w14:paraId="33CB9ADA" w14:textId="2E0B736B">
            <w:pPr>
              <w:pStyle w:val="Normal"/>
              <w:rPr>
                <w:color w:val="000000" w:themeColor="text1" w:themeTint="FF" w:themeShade="FF"/>
                <w:sz w:val="22"/>
                <w:szCs w:val="22"/>
                <w:lang w:val="es-419"/>
              </w:rPr>
            </w:pPr>
          </w:p>
        </w:tc>
        <w:tc>
          <w:tcPr>
            <w:tcW w:w="3121" w:type="dxa"/>
            <w:tcMar/>
          </w:tcPr>
          <w:p w:rsidR="249A8547" w:rsidP="5A9AD4E6" w:rsidRDefault="249A8547" w14:noSpellErr="1" w14:paraId="5C8D33B1" w14:textId="2840B7E4">
            <w:pPr>
              <w:rPr>
                <w:color w:val="000000" w:themeColor="text1" w:themeTint="FF" w:themeShade="FF"/>
                <w:sz w:val="22"/>
                <w:szCs w:val="22"/>
                <w:lang w:val="es-419"/>
              </w:rPr>
            </w:pPr>
            <w:r w:rsidRPr="5A9AD4E6" w:rsidR="249A8547">
              <w:rPr>
                <w:color w:val="000000" w:themeColor="text1" w:themeTint="FF" w:themeShade="FF"/>
                <w:sz w:val="22"/>
                <w:szCs w:val="22"/>
                <w:lang w:val="es-419"/>
              </w:rPr>
              <w:t>Los mensajes genéricos están listos para usarse, sin embargo, los riesgos específicos resaltados se relacionan con la fase de socorro (por ejemplo, relacionados con las distribuciones) y requieren ser adaptados para la fase de recuperación (por ejemplo, relacionados con el diseño de alojamientos inclusivos a largo plazo).</w:t>
            </w:r>
          </w:p>
          <w:p w:rsidR="5A9AD4E6" w:rsidP="5A9AD4E6" w:rsidRDefault="5A9AD4E6" w14:paraId="181420D4" w14:textId="3AA2CA12">
            <w:pPr>
              <w:pStyle w:val="Normal"/>
              <w:rPr>
                <w:color w:val="000000" w:themeColor="text1" w:themeTint="FF" w:themeShade="FF"/>
                <w:sz w:val="22"/>
                <w:szCs w:val="22"/>
                <w:lang w:val="es-419"/>
              </w:rPr>
            </w:pPr>
          </w:p>
        </w:tc>
        <w:tc>
          <w:tcPr>
            <w:tcW w:w="1612" w:type="dxa"/>
            <w:tcMar/>
          </w:tcPr>
          <w:p w:rsidR="249A8547" w:rsidP="5A9AD4E6" w:rsidRDefault="249A8547" w14:paraId="0AB98360" w14:textId="6D4BE2A5">
            <w:pPr>
              <w:pStyle w:val="Normal"/>
              <w:rPr>
                <w:color w:val="000000" w:themeColor="text1" w:themeTint="FF" w:themeShade="FF"/>
                <w:sz w:val="22"/>
                <w:szCs w:val="22"/>
                <w:lang w:val="es-419"/>
              </w:rPr>
            </w:pPr>
            <w:r w:rsidRPr="5A9AD4E6" w:rsidR="249A8547">
              <w:rPr>
                <w:color w:val="000000" w:themeColor="text1" w:themeTint="FF" w:themeShade="FF"/>
                <w:sz w:val="22"/>
                <w:szCs w:val="22"/>
                <w:lang w:val="es-419"/>
              </w:rPr>
              <w:t>Básico</w:t>
            </w:r>
          </w:p>
        </w:tc>
      </w:tr>
      <w:tr w:rsidRPr="00A24FDB" w:rsidR="007B61D0" w:rsidTr="5574D9F5" w14:paraId="65E5A724" w14:textId="77777777">
        <w:trPr>
          <w:trHeight w:val="900"/>
        </w:trPr>
        <w:tc>
          <w:tcPr>
            <w:tcW w:w="1697" w:type="dxa"/>
            <w:vMerge/>
            <w:tcMar/>
            <w:vAlign w:val="center"/>
          </w:tcPr>
          <w:p w:rsidRPr="00A24FDB" w:rsidR="007B61D0" w:rsidRDefault="000C6B6A" w14:paraId="12FD81C5" w14:textId="228EBA7F">
            <w:pPr>
              <w:rPr>
                <w:b/>
                <w:color w:val="000000"/>
                <w:sz w:val="22"/>
                <w:szCs w:val="22"/>
                <w:lang w:val="es-419"/>
              </w:rPr>
            </w:pPr>
            <w:r w:rsidRPr="00A24FDB">
              <w:rPr>
                <w:b/>
                <w:color w:val="000000"/>
                <w:sz w:val="22"/>
                <w:szCs w:val="22"/>
                <w:lang w:val="es-419"/>
              </w:rPr>
              <w:t xml:space="preserve">3. </w:t>
            </w:r>
            <w:r w:rsidRPr="00A24FDB" w:rsidR="008D4048">
              <w:rPr>
                <w:b/>
                <w:color w:val="000000"/>
                <w:sz w:val="22"/>
                <w:szCs w:val="22"/>
                <w:lang w:val="es-419"/>
              </w:rPr>
              <w:t>Implementación</w:t>
            </w:r>
          </w:p>
        </w:tc>
        <w:tc>
          <w:tcPr>
            <w:tcW w:w="2835" w:type="dxa"/>
            <w:gridSpan w:val="2"/>
            <w:tcMar/>
          </w:tcPr>
          <w:p w:rsidRPr="00A24FDB" w:rsidR="007B61D0" w:rsidRDefault="00A9020B" w14:paraId="226829C0" w14:textId="0F586497">
            <w:pPr>
              <w:rPr>
                <w:color w:val="000000"/>
                <w:sz w:val="22"/>
                <w:szCs w:val="22"/>
                <w:lang w:val="es-419"/>
              </w:rPr>
            </w:pPr>
            <w:r w:rsidRPr="00A9020B">
              <w:rPr>
                <w:color w:val="000000"/>
                <w:sz w:val="22"/>
                <w:szCs w:val="22"/>
                <w:lang w:val="es-419"/>
              </w:rPr>
              <w:t>3.1 Orientación sobre los pasos básicos para la transversalización de Normas Mínimas en Emergencias</w:t>
            </w:r>
          </w:p>
        </w:tc>
        <w:tc>
          <w:tcPr>
            <w:tcW w:w="3121" w:type="dxa"/>
            <w:tcMar/>
          </w:tcPr>
          <w:p w:rsidRPr="00A24FDB" w:rsidR="007B61D0" w:rsidRDefault="00D063F0" w14:paraId="111673A9" w14:textId="62EFC953">
            <w:pPr>
              <w:rPr>
                <w:color w:val="000000"/>
                <w:sz w:val="22"/>
                <w:szCs w:val="22"/>
                <w:lang w:val="es-419"/>
              </w:rPr>
            </w:pPr>
            <w:r w:rsidRPr="00D063F0">
              <w:rPr>
                <w:color w:val="000000"/>
                <w:sz w:val="22"/>
                <w:szCs w:val="22"/>
                <w:lang w:val="es-419"/>
              </w:rPr>
              <w:t>La intención es que esta herramienta sirva principalmente como un método</w:t>
            </w:r>
            <w:r w:rsidRPr="00A9020B" w:rsidR="00A9020B">
              <w:rPr>
                <w:color w:val="000000"/>
                <w:sz w:val="22"/>
                <w:szCs w:val="22"/>
                <w:lang w:val="es-419"/>
              </w:rPr>
              <w:t xml:space="preserve"> para garantizar que los líderes sectoriales entiendan sus responsabilidades en relación con las Normas Mínimas y para apoyar ese proceso</w:t>
            </w:r>
            <w:r w:rsidRPr="00A24FDB" w:rsidR="000C6B6A">
              <w:rPr>
                <w:color w:val="000000"/>
                <w:sz w:val="22"/>
                <w:szCs w:val="22"/>
                <w:lang w:val="es-419"/>
              </w:rPr>
              <w:t xml:space="preserve">. </w:t>
            </w:r>
          </w:p>
        </w:tc>
        <w:tc>
          <w:tcPr>
            <w:tcW w:w="1612" w:type="dxa"/>
            <w:tcMar/>
          </w:tcPr>
          <w:p w:rsidRPr="00A24FDB" w:rsidR="007B61D0" w:rsidRDefault="00421E6F" w14:paraId="255FC3C2" w14:textId="69055B09">
            <w:pPr>
              <w:rPr>
                <w:color w:val="000000"/>
                <w:sz w:val="22"/>
                <w:szCs w:val="22"/>
                <w:lang w:val="es-419"/>
              </w:rPr>
            </w:pPr>
            <w:r>
              <w:rPr>
                <w:color w:val="000000"/>
                <w:sz w:val="22"/>
                <w:szCs w:val="22"/>
                <w:lang w:val="es-419"/>
              </w:rPr>
              <w:t>Novato</w:t>
            </w:r>
          </w:p>
        </w:tc>
      </w:tr>
      <w:tr w:rsidRPr="00A24FDB" w:rsidR="007B61D0" w:rsidTr="5574D9F5" w14:paraId="13126B02" w14:textId="77777777">
        <w:trPr>
          <w:trHeight w:val="460"/>
        </w:trPr>
        <w:tc>
          <w:tcPr>
            <w:tcW w:w="1697" w:type="dxa"/>
            <w:vMerge/>
            <w:tcMar/>
            <w:vAlign w:val="center"/>
          </w:tcPr>
          <w:p w:rsidRPr="00A24FDB" w:rsidR="007B61D0" w:rsidRDefault="007B61D0" w14:paraId="3649FCBA" w14:textId="77777777">
            <w:pPr>
              <w:widowControl w:val="0"/>
              <w:pBdr>
                <w:top w:val="nil"/>
                <w:left w:val="nil"/>
                <w:bottom w:val="nil"/>
                <w:right w:val="nil"/>
                <w:between w:val="nil"/>
              </w:pBdr>
              <w:spacing w:line="276" w:lineRule="auto"/>
              <w:rPr>
                <w:color w:val="000000"/>
                <w:sz w:val="22"/>
                <w:szCs w:val="22"/>
                <w:lang w:val="es-419"/>
              </w:rPr>
            </w:pPr>
          </w:p>
        </w:tc>
        <w:tc>
          <w:tcPr>
            <w:tcW w:w="2835" w:type="dxa"/>
            <w:gridSpan w:val="2"/>
            <w:tcMar/>
          </w:tcPr>
          <w:p w:rsidRPr="00A24FDB" w:rsidR="007B61D0" w:rsidRDefault="000C6B6A" w14:paraId="4F712D95" w14:textId="7A30777E">
            <w:pPr>
              <w:rPr>
                <w:color w:val="000000"/>
                <w:sz w:val="22"/>
                <w:szCs w:val="22"/>
                <w:lang w:val="es-419"/>
              </w:rPr>
            </w:pPr>
            <w:r w:rsidRPr="5A9AD4E6" w:rsidR="000C6B6A">
              <w:rPr>
                <w:color w:val="000000" w:themeColor="text1" w:themeTint="FF" w:themeShade="FF"/>
                <w:sz w:val="22"/>
                <w:szCs w:val="22"/>
                <w:lang w:val="es-419"/>
              </w:rPr>
              <w:t xml:space="preserve">3.2. </w:t>
            </w:r>
            <w:r w:rsidRPr="5A9AD4E6" w:rsidR="3F3EF18E">
              <w:rPr>
                <w:color w:val="000000" w:themeColor="text1" w:themeTint="FF" w:themeShade="FF"/>
                <w:sz w:val="22"/>
                <w:szCs w:val="22"/>
                <w:lang w:val="es-419"/>
              </w:rPr>
              <w:t>Orientación sobre mapeo básico de re</w:t>
            </w:r>
            <w:r w:rsidRPr="5A9AD4E6" w:rsidR="00C93D33">
              <w:rPr>
                <w:color w:val="000000" w:themeColor="text1" w:themeTint="FF" w:themeShade="FF"/>
                <w:sz w:val="22"/>
                <w:szCs w:val="22"/>
                <w:lang w:val="es-419"/>
              </w:rPr>
              <w:t>misiones</w:t>
            </w:r>
            <w:r w:rsidRPr="5A9AD4E6" w:rsidR="3F3EF18E">
              <w:rPr>
                <w:color w:val="000000" w:themeColor="text1" w:themeTint="FF" w:themeShade="FF"/>
                <w:sz w:val="22"/>
                <w:szCs w:val="22"/>
                <w:lang w:val="es-419"/>
              </w:rPr>
              <w:t xml:space="preserve"> y manejo de casos, incluyendo</w:t>
            </w:r>
            <w:r w:rsidRPr="5A9AD4E6" w:rsidR="000C6B6A">
              <w:rPr>
                <w:color w:val="000000" w:themeColor="text1" w:themeTint="FF" w:themeShade="FF"/>
                <w:sz w:val="22"/>
                <w:szCs w:val="22"/>
                <w:lang w:val="es-419"/>
              </w:rPr>
              <w:t>:</w:t>
            </w:r>
          </w:p>
          <w:p w:rsidRPr="00D063F0" w:rsidR="00D063F0" w:rsidP="00D063F0" w:rsidRDefault="00D063F0" w14:paraId="794FE7A3" w14:textId="77777777">
            <w:pPr>
              <w:numPr>
                <w:ilvl w:val="0"/>
                <w:numId w:val="5"/>
              </w:numPr>
              <w:pBdr>
                <w:top w:val="nil"/>
                <w:left w:val="nil"/>
                <w:bottom w:val="nil"/>
                <w:right w:val="nil"/>
                <w:between w:val="nil"/>
              </w:pBdr>
              <w:rPr>
                <w:color w:val="000000"/>
                <w:sz w:val="22"/>
                <w:szCs w:val="22"/>
                <w:lang w:val="es-419"/>
              </w:rPr>
            </w:pPr>
            <w:r w:rsidRPr="00D063F0">
              <w:rPr>
                <w:color w:val="000000"/>
                <w:sz w:val="22"/>
                <w:szCs w:val="22"/>
                <w:lang w:val="es-419"/>
              </w:rPr>
              <w:t>3.2.1 Lista de verificación de aseguramiento de calidad</w:t>
            </w:r>
          </w:p>
          <w:p w:rsidRPr="00D063F0" w:rsidR="00D063F0" w:rsidP="00D063F0" w:rsidRDefault="00D063F0" w14:paraId="09764B4F" w14:textId="654BB513">
            <w:pPr>
              <w:numPr>
                <w:ilvl w:val="0"/>
                <w:numId w:val="5"/>
              </w:numPr>
              <w:pBdr>
                <w:top w:val="nil"/>
                <w:left w:val="nil"/>
                <w:bottom w:val="nil"/>
                <w:right w:val="nil"/>
                <w:between w:val="nil"/>
              </w:pBdr>
              <w:rPr>
                <w:color w:val="000000"/>
                <w:sz w:val="22"/>
                <w:szCs w:val="22"/>
                <w:lang w:val="es-419"/>
              </w:rPr>
            </w:pPr>
            <w:r w:rsidRPr="00D063F0">
              <w:rPr>
                <w:color w:val="000000"/>
                <w:sz w:val="22"/>
                <w:szCs w:val="22"/>
                <w:lang w:val="es-419"/>
              </w:rPr>
              <w:t>3.2.2 Plantilla de mapeo de re</w:t>
            </w:r>
            <w:r w:rsidR="00C93D33">
              <w:rPr>
                <w:color w:val="000000"/>
                <w:sz w:val="22"/>
                <w:szCs w:val="22"/>
                <w:lang w:val="es-419"/>
              </w:rPr>
              <w:t>misiones</w:t>
            </w:r>
          </w:p>
          <w:p w:rsidRPr="00D063F0" w:rsidR="00D063F0" w:rsidP="00D063F0" w:rsidRDefault="00D063F0" w14:paraId="1A33C92D" w14:textId="0D7D8AE4">
            <w:pPr>
              <w:numPr>
                <w:ilvl w:val="0"/>
                <w:numId w:val="5"/>
              </w:numPr>
              <w:pBdr>
                <w:top w:val="nil"/>
                <w:left w:val="nil"/>
                <w:bottom w:val="nil"/>
                <w:right w:val="nil"/>
                <w:between w:val="nil"/>
              </w:pBdr>
              <w:rPr>
                <w:color w:val="000000"/>
                <w:sz w:val="22"/>
                <w:szCs w:val="22"/>
                <w:lang w:val="es-419"/>
              </w:rPr>
            </w:pPr>
            <w:r w:rsidRPr="00D063F0">
              <w:rPr>
                <w:color w:val="000000"/>
                <w:sz w:val="22"/>
                <w:szCs w:val="22"/>
                <w:lang w:val="es-419"/>
              </w:rPr>
              <w:t>3.2.3 Muestra de formulario de re</w:t>
            </w:r>
            <w:r w:rsidR="00C93D33">
              <w:rPr>
                <w:color w:val="000000"/>
                <w:sz w:val="22"/>
                <w:szCs w:val="22"/>
                <w:lang w:val="es-419"/>
              </w:rPr>
              <w:t>misión</w:t>
            </w:r>
          </w:p>
          <w:p w:rsidRPr="00D063F0" w:rsidR="00D063F0" w:rsidP="00D063F0" w:rsidRDefault="00D063F0" w14:paraId="4FB99505" w14:textId="77777777">
            <w:pPr>
              <w:numPr>
                <w:ilvl w:val="0"/>
                <w:numId w:val="5"/>
              </w:numPr>
              <w:pBdr>
                <w:top w:val="nil"/>
                <w:left w:val="nil"/>
                <w:bottom w:val="nil"/>
                <w:right w:val="nil"/>
                <w:between w:val="nil"/>
              </w:pBdr>
              <w:rPr>
                <w:color w:val="000000"/>
                <w:sz w:val="22"/>
                <w:szCs w:val="22"/>
                <w:lang w:val="es-419"/>
              </w:rPr>
            </w:pPr>
            <w:r w:rsidRPr="00D063F0">
              <w:rPr>
                <w:color w:val="000000"/>
                <w:sz w:val="22"/>
                <w:szCs w:val="22"/>
                <w:lang w:val="es-419"/>
              </w:rPr>
              <w:t>3.2.4 Plantilla de plan de caso</w:t>
            </w:r>
          </w:p>
          <w:p w:rsidRPr="00D063F0" w:rsidR="00D063F0" w:rsidP="00D063F0" w:rsidRDefault="00D063F0" w14:paraId="1D96BA35" w14:textId="77777777">
            <w:pPr>
              <w:numPr>
                <w:ilvl w:val="0"/>
                <w:numId w:val="5"/>
              </w:numPr>
              <w:pBdr>
                <w:top w:val="nil"/>
                <w:left w:val="nil"/>
                <w:bottom w:val="nil"/>
                <w:right w:val="nil"/>
                <w:between w:val="nil"/>
              </w:pBdr>
              <w:rPr>
                <w:color w:val="000000"/>
                <w:sz w:val="22"/>
                <w:szCs w:val="22"/>
                <w:lang w:val="es-419"/>
              </w:rPr>
            </w:pPr>
            <w:r w:rsidRPr="00D063F0">
              <w:rPr>
                <w:color w:val="000000"/>
                <w:sz w:val="22"/>
                <w:szCs w:val="22"/>
                <w:lang w:val="es-419"/>
              </w:rPr>
              <w:t>3.2.5 Plantilla de plan de monitoreo de casos</w:t>
            </w:r>
          </w:p>
          <w:p w:rsidRPr="00D063F0" w:rsidR="00D063F0" w:rsidP="00D063F0" w:rsidRDefault="00D063F0" w14:paraId="3A72517B" w14:textId="77777777">
            <w:pPr>
              <w:numPr>
                <w:ilvl w:val="0"/>
                <w:numId w:val="5"/>
              </w:numPr>
              <w:pBdr>
                <w:top w:val="nil"/>
                <w:left w:val="nil"/>
                <w:bottom w:val="nil"/>
                <w:right w:val="nil"/>
                <w:between w:val="nil"/>
              </w:pBdr>
              <w:rPr>
                <w:color w:val="000000"/>
                <w:sz w:val="22"/>
                <w:szCs w:val="22"/>
                <w:lang w:val="es-419"/>
              </w:rPr>
            </w:pPr>
            <w:r w:rsidRPr="00D063F0">
              <w:rPr>
                <w:color w:val="000000"/>
                <w:sz w:val="22"/>
                <w:szCs w:val="22"/>
                <w:lang w:val="es-419"/>
              </w:rPr>
              <w:t>3.2.6 Plantilla de cierre de caso</w:t>
            </w:r>
          </w:p>
          <w:p w:rsidRPr="00D063F0" w:rsidR="00D063F0" w:rsidP="00D063F0" w:rsidRDefault="00D063F0" w14:paraId="4EACA76F" w14:textId="24AABD70">
            <w:pPr>
              <w:numPr>
                <w:ilvl w:val="0"/>
                <w:numId w:val="5"/>
              </w:numPr>
              <w:pBdr>
                <w:top w:val="nil"/>
                <w:left w:val="nil"/>
                <w:bottom w:val="nil"/>
                <w:right w:val="nil"/>
                <w:between w:val="nil"/>
              </w:pBdr>
              <w:rPr>
                <w:color w:val="000000"/>
                <w:sz w:val="22"/>
                <w:szCs w:val="22"/>
                <w:lang w:val="es-419"/>
              </w:rPr>
            </w:pPr>
            <w:r w:rsidRPr="00D063F0">
              <w:rPr>
                <w:color w:val="000000"/>
                <w:sz w:val="22"/>
                <w:szCs w:val="22"/>
                <w:lang w:val="es-419"/>
              </w:rPr>
              <w:t>Muestra de POE</w:t>
            </w:r>
            <w:r w:rsidR="00F37D35">
              <w:rPr>
                <w:color w:val="000000"/>
                <w:sz w:val="22"/>
                <w:szCs w:val="22"/>
                <w:lang w:val="es-419"/>
              </w:rPr>
              <w:t>/SOP</w:t>
            </w:r>
            <w:r w:rsidRPr="00D063F0">
              <w:rPr>
                <w:color w:val="000000"/>
                <w:sz w:val="22"/>
                <w:szCs w:val="22"/>
                <w:lang w:val="es-419"/>
              </w:rPr>
              <w:t xml:space="preserve"> para casos de protección</w:t>
            </w:r>
          </w:p>
          <w:p w:rsidRPr="00A24FDB" w:rsidR="007B61D0" w:rsidP="00D063F0" w:rsidRDefault="00D063F0" w14:paraId="0BF66FA0" w14:textId="03FDEB66">
            <w:pPr>
              <w:numPr>
                <w:ilvl w:val="0"/>
                <w:numId w:val="5"/>
              </w:numPr>
              <w:pBdr>
                <w:top w:val="nil"/>
                <w:left w:val="nil"/>
                <w:bottom w:val="nil"/>
                <w:right w:val="nil"/>
                <w:between w:val="nil"/>
              </w:pBdr>
              <w:rPr>
                <w:color w:val="000000"/>
                <w:sz w:val="22"/>
                <w:szCs w:val="22"/>
                <w:lang w:val="es-419"/>
              </w:rPr>
            </w:pPr>
            <w:r w:rsidRPr="00D063F0">
              <w:rPr>
                <w:color w:val="000000"/>
                <w:sz w:val="22"/>
                <w:szCs w:val="22"/>
                <w:lang w:val="es-419"/>
              </w:rPr>
              <w:t xml:space="preserve">Muestra de </w:t>
            </w:r>
            <w:r w:rsidR="00C93D33">
              <w:rPr>
                <w:color w:val="000000"/>
                <w:sz w:val="22"/>
                <w:szCs w:val="22"/>
                <w:lang w:val="es-419"/>
              </w:rPr>
              <w:t>ruta de remisión</w:t>
            </w:r>
          </w:p>
        </w:tc>
        <w:tc>
          <w:tcPr>
            <w:tcW w:w="3121" w:type="dxa"/>
            <w:tcMar/>
          </w:tcPr>
          <w:p w:rsidRPr="00A24FDB" w:rsidR="007B61D0" w:rsidP="5A9AD4E6" w:rsidRDefault="00D063F0" w14:noSpellErr="1" w14:paraId="310BA689" w14:textId="1767428E">
            <w:pPr>
              <w:rPr>
                <w:color w:val="000000" w:themeColor="text1" w:themeTint="FF" w:themeShade="FF"/>
                <w:sz w:val="22"/>
                <w:szCs w:val="22"/>
                <w:lang w:val="es-419"/>
              </w:rPr>
            </w:pPr>
            <w:r w:rsidRPr="5A9AD4E6" w:rsidR="21CBCBE6">
              <w:rPr>
                <w:color w:val="000000" w:themeColor="text1" w:themeTint="FF" w:themeShade="FF"/>
                <w:sz w:val="22"/>
                <w:szCs w:val="22"/>
                <w:lang w:val="es-419"/>
              </w:rPr>
              <w:t>Esenciales para ambas fases, pero con la posibilidad de adaptarlas a un procedimiento más completo y extenso en la fase de recuperación</w:t>
            </w:r>
            <w:r w:rsidRPr="5A9AD4E6" w:rsidR="000C6B6A">
              <w:rPr>
                <w:color w:val="000000" w:themeColor="text1" w:themeTint="FF" w:themeShade="FF"/>
                <w:sz w:val="22"/>
                <w:szCs w:val="22"/>
                <w:lang w:val="es-419"/>
              </w:rPr>
              <w:t>.</w:t>
            </w:r>
          </w:p>
          <w:p w:rsidRPr="00A24FDB" w:rsidR="007B61D0" w:rsidP="5A9AD4E6" w:rsidRDefault="00D063F0" w14:paraId="5887BD4E" w14:textId="578B0CE4">
            <w:pPr>
              <w:pStyle w:val="Normal"/>
              <w:rPr>
                <w:color w:val="000000" w:themeColor="text1" w:themeTint="FF" w:themeShade="FF"/>
                <w:sz w:val="22"/>
                <w:szCs w:val="22"/>
                <w:lang w:val="es-419"/>
              </w:rPr>
            </w:pPr>
          </w:p>
          <w:p w:rsidRPr="00A24FDB" w:rsidR="007B61D0" w:rsidP="5A9AD4E6" w:rsidRDefault="00D063F0" w14:paraId="290E2D0B" w14:textId="1D32630F">
            <w:pPr>
              <w:pStyle w:val="Normal"/>
              <w:rPr>
                <w:color w:val="000000" w:themeColor="text1" w:themeTint="FF" w:themeShade="FF"/>
                <w:sz w:val="22"/>
                <w:szCs w:val="22"/>
                <w:lang w:val="es-419"/>
              </w:rPr>
            </w:pPr>
          </w:p>
          <w:p w:rsidRPr="00A24FDB" w:rsidR="007B61D0" w:rsidP="5A9AD4E6" w:rsidRDefault="00D063F0" w14:paraId="58554380" w14:textId="0EC0F2DA">
            <w:pPr>
              <w:pStyle w:val="Normal"/>
              <w:rPr>
                <w:color w:val="000000" w:themeColor="text1" w:themeTint="FF" w:themeShade="FF"/>
                <w:sz w:val="22"/>
                <w:szCs w:val="22"/>
                <w:lang w:val="es-419"/>
              </w:rPr>
            </w:pPr>
          </w:p>
          <w:p w:rsidRPr="00A24FDB" w:rsidR="007B61D0" w:rsidP="5A9AD4E6" w:rsidRDefault="00D063F0" w14:paraId="385459D3" w14:textId="63CA6D1A">
            <w:pPr>
              <w:pStyle w:val="Normal"/>
              <w:rPr>
                <w:color w:val="000000" w:themeColor="text1" w:themeTint="FF" w:themeShade="FF"/>
                <w:sz w:val="22"/>
                <w:szCs w:val="22"/>
                <w:lang w:val="es-419"/>
              </w:rPr>
            </w:pPr>
          </w:p>
          <w:p w:rsidRPr="00A24FDB" w:rsidR="007B61D0" w:rsidP="5A9AD4E6" w:rsidRDefault="00D063F0" w14:paraId="7876991D" w14:textId="7A3ABDFD">
            <w:pPr>
              <w:pStyle w:val="Normal"/>
              <w:rPr>
                <w:color w:val="000000" w:themeColor="text1" w:themeTint="FF" w:themeShade="FF"/>
                <w:sz w:val="22"/>
                <w:szCs w:val="22"/>
                <w:lang w:val="es-419"/>
              </w:rPr>
            </w:pPr>
          </w:p>
          <w:p w:rsidRPr="00A24FDB" w:rsidR="007B61D0" w:rsidP="5A9AD4E6" w:rsidRDefault="00D063F0" w14:paraId="0CE35F92" w14:textId="7358DDD8">
            <w:pPr>
              <w:pStyle w:val="Normal"/>
              <w:rPr>
                <w:color w:val="000000" w:themeColor="text1" w:themeTint="FF" w:themeShade="FF"/>
                <w:sz w:val="22"/>
                <w:szCs w:val="22"/>
                <w:lang w:val="es-419"/>
              </w:rPr>
            </w:pPr>
          </w:p>
          <w:p w:rsidRPr="00A24FDB" w:rsidR="007B61D0" w:rsidP="5A9AD4E6" w:rsidRDefault="00D063F0" w14:paraId="40DA9D55" w14:textId="2DF9C91D">
            <w:pPr>
              <w:pStyle w:val="Normal"/>
              <w:rPr>
                <w:color w:val="000000" w:themeColor="text1" w:themeTint="FF" w:themeShade="FF"/>
                <w:sz w:val="22"/>
                <w:szCs w:val="22"/>
                <w:lang w:val="es-419"/>
              </w:rPr>
            </w:pPr>
          </w:p>
          <w:p w:rsidRPr="00A24FDB" w:rsidR="007B61D0" w:rsidP="5A9AD4E6" w:rsidRDefault="00D063F0" w14:paraId="07421747" w14:textId="0747D631">
            <w:pPr>
              <w:pStyle w:val="Normal"/>
              <w:rPr>
                <w:color w:val="000000" w:themeColor="text1" w:themeTint="FF" w:themeShade="FF"/>
                <w:sz w:val="22"/>
                <w:szCs w:val="22"/>
                <w:lang w:val="es-419"/>
              </w:rPr>
            </w:pPr>
          </w:p>
          <w:p w:rsidRPr="00A24FDB" w:rsidR="007B61D0" w:rsidP="5A9AD4E6" w:rsidRDefault="00D063F0" w14:paraId="16772E6C" w14:textId="46977AD2">
            <w:pPr>
              <w:pStyle w:val="Normal"/>
              <w:rPr>
                <w:color w:val="000000" w:themeColor="text1" w:themeTint="FF" w:themeShade="FF"/>
                <w:sz w:val="22"/>
                <w:szCs w:val="22"/>
                <w:lang w:val="es-419"/>
              </w:rPr>
            </w:pPr>
          </w:p>
          <w:p w:rsidRPr="00A24FDB" w:rsidR="007B61D0" w:rsidP="5A9AD4E6" w:rsidRDefault="00D063F0" w14:paraId="0F5CD7E2" w14:textId="3382D2A0">
            <w:pPr>
              <w:pStyle w:val="Normal"/>
              <w:rPr>
                <w:color w:val="000000" w:themeColor="text1" w:themeTint="FF" w:themeShade="FF"/>
                <w:sz w:val="22"/>
                <w:szCs w:val="22"/>
                <w:lang w:val="es-419"/>
              </w:rPr>
            </w:pPr>
          </w:p>
          <w:p w:rsidRPr="00A24FDB" w:rsidR="007B61D0" w:rsidP="5A9AD4E6" w:rsidRDefault="00D063F0" w14:paraId="2D525FF3" w14:textId="5D0E26CC">
            <w:pPr>
              <w:pStyle w:val="Normal"/>
              <w:rPr>
                <w:color w:val="000000" w:themeColor="text1" w:themeTint="FF" w:themeShade="FF"/>
                <w:sz w:val="22"/>
                <w:szCs w:val="22"/>
                <w:lang w:val="es-419"/>
              </w:rPr>
            </w:pPr>
          </w:p>
          <w:p w:rsidRPr="00A24FDB" w:rsidR="007B61D0" w:rsidP="5A9AD4E6" w:rsidRDefault="00D063F0" w14:paraId="42729B81" w14:textId="3BAE0B37">
            <w:pPr>
              <w:pStyle w:val="Normal"/>
              <w:rPr>
                <w:color w:val="000000" w:themeColor="text1" w:themeTint="FF" w:themeShade="FF"/>
                <w:sz w:val="22"/>
                <w:szCs w:val="22"/>
                <w:lang w:val="es-419"/>
              </w:rPr>
            </w:pPr>
          </w:p>
          <w:p w:rsidRPr="00A24FDB" w:rsidR="007B61D0" w:rsidP="5A9AD4E6" w:rsidRDefault="00D063F0" w14:paraId="147D034E" w14:textId="761D225F">
            <w:pPr>
              <w:pStyle w:val="Normal"/>
              <w:rPr>
                <w:color w:val="000000" w:themeColor="text1" w:themeTint="FF" w:themeShade="FF"/>
                <w:sz w:val="22"/>
                <w:szCs w:val="22"/>
                <w:lang w:val="es-419"/>
              </w:rPr>
            </w:pPr>
          </w:p>
          <w:p w:rsidRPr="00A24FDB" w:rsidR="007B61D0" w:rsidP="5A9AD4E6" w:rsidRDefault="00D063F0" w14:paraId="0824FBA9" w14:textId="1E7AC4FC">
            <w:pPr>
              <w:pStyle w:val="Normal"/>
              <w:rPr>
                <w:color w:val="000000"/>
                <w:sz w:val="22"/>
                <w:szCs w:val="22"/>
                <w:lang w:val="es-419"/>
              </w:rPr>
            </w:pPr>
            <w:r w:rsidRPr="5A9AD4E6" w:rsidR="11B6B97C">
              <w:rPr>
                <w:color w:val="000000" w:themeColor="text1" w:themeTint="FF" w:themeShade="FF"/>
                <w:sz w:val="22"/>
                <w:szCs w:val="22"/>
                <w:lang w:val="es-419"/>
              </w:rPr>
              <w:t>Estos ejemplos son relevantes en operaciones de respuesta</w:t>
            </w:r>
          </w:p>
        </w:tc>
        <w:tc>
          <w:tcPr>
            <w:tcW w:w="1612" w:type="dxa"/>
            <w:tcMar/>
          </w:tcPr>
          <w:p w:rsidRPr="00A24FDB" w:rsidR="007B61D0" w:rsidRDefault="00421E6F" w14:paraId="0DD72E28" w14:textId="0A9C1275">
            <w:pPr>
              <w:rPr>
                <w:color w:val="000000"/>
                <w:sz w:val="22"/>
                <w:szCs w:val="22"/>
                <w:lang w:val="es-419"/>
              </w:rPr>
            </w:pPr>
            <w:r>
              <w:rPr>
                <w:color w:val="000000"/>
                <w:sz w:val="22"/>
                <w:szCs w:val="22"/>
                <w:lang w:val="es-419"/>
              </w:rPr>
              <w:t>Experimentado</w:t>
            </w:r>
          </w:p>
        </w:tc>
      </w:tr>
      <w:tr w:rsidRPr="00A24FDB" w:rsidR="007B61D0" w:rsidTr="5574D9F5" w14:paraId="78302C14" w14:textId="77777777">
        <w:trPr>
          <w:trHeight w:val="440"/>
        </w:trPr>
        <w:tc>
          <w:tcPr>
            <w:tcW w:w="1697" w:type="dxa"/>
            <w:vMerge/>
            <w:tcMar/>
            <w:vAlign w:val="center"/>
          </w:tcPr>
          <w:p w:rsidRPr="00A24FDB" w:rsidR="007B61D0" w:rsidRDefault="007B61D0" w14:paraId="449FE13A" w14:textId="77777777">
            <w:pPr>
              <w:widowControl w:val="0"/>
              <w:pBdr>
                <w:top w:val="nil"/>
                <w:left w:val="nil"/>
                <w:bottom w:val="nil"/>
                <w:right w:val="nil"/>
                <w:between w:val="nil"/>
              </w:pBdr>
              <w:spacing w:line="276" w:lineRule="auto"/>
              <w:rPr>
                <w:color w:val="000000"/>
                <w:sz w:val="22"/>
                <w:szCs w:val="22"/>
                <w:lang w:val="es-419"/>
              </w:rPr>
            </w:pPr>
          </w:p>
        </w:tc>
        <w:tc>
          <w:tcPr>
            <w:tcW w:w="2835" w:type="dxa"/>
            <w:gridSpan w:val="2"/>
            <w:tcMar/>
          </w:tcPr>
          <w:p w:rsidRPr="00A24FDB" w:rsidR="007B61D0" w:rsidRDefault="000C6B6A" w14:paraId="44903C12" w14:textId="20C2323F">
            <w:pPr>
              <w:rPr>
                <w:color w:val="000000"/>
                <w:sz w:val="22"/>
                <w:szCs w:val="22"/>
                <w:lang w:val="es-419"/>
              </w:rPr>
            </w:pPr>
            <w:r w:rsidRPr="5A9AD4E6" w:rsidR="000C6B6A">
              <w:rPr>
                <w:color w:val="000000" w:themeColor="text1" w:themeTint="FF" w:themeShade="FF"/>
                <w:sz w:val="22"/>
                <w:szCs w:val="22"/>
                <w:lang w:val="es-419"/>
              </w:rPr>
              <w:t xml:space="preserve">3.3. </w:t>
            </w:r>
            <w:r w:rsidRPr="5A9AD4E6" w:rsidR="21CBCBE6">
              <w:rPr>
                <w:color w:val="000000" w:themeColor="text1" w:themeTint="FF" w:themeShade="FF"/>
                <w:sz w:val="22"/>
                <w:szCs w:val="22"/>
                <w:lang w:val="es-419"/>
              </w:rPr>
              <w:t>Orientación para Espacios Seguros y Centros DAPS, incluyendo</w:t>
            </w:r>
          </w:p>
          <w:p w:rsidRPr="00D063F0" w:rsidR="00D063F0" w:rsidP="00D063F0" w:rsidRDefault="00D063F0" w14:paraId="490159D5" w14:textId="77777777">
            <w:pPr>
              <w:numPr>
                <w:ilvl w:val="0"/>
                <w:numId w:val="5"/>
              </w:numPr>
              <w:pBdr>
                <w:top w:val="nil"/>
                <w:left w:val="nil"/>
                <w:bottom w:val="nil"/>
                <w:right w:val="nil"/>
                <w:between w:val="nil"/>
              </w:pBdr>
              <w:rPr>
                <w:color w:val="000000"/>
                <w:sz w:val="22"/>
                <w:szCs w:val="22"/>
                <w:lang w:val="es-419"/>
              </w:rPr>
            </w:pPr>
            <w:r w:rsidRPr="00D063F0">
              <w:rPr>
                <w:color w:val="000000"/>
                <w:sz w:val="22"/>
                <w:szCs w:val="22"/>
                <w:lang w:val="es-419"/>
              </w:rPr>
              <w:t>3.3.1 Preguntas para Grupos Focales para la evaluación de necesidades DAPS</w:t>
            </w:r>
          </w:p>
          <w:p w:rsidRPr="00D063F0" w:rsidR="00D063F0" w:rsidP="00D063F0" w:rsidRDefault="00D063F0" w14:paraId="53E01B0B" w14:textId="77777777">
            <w:pPr>
              <w:numPr>
                <w:ilvl w:val="0"/>
                <w:numId w:val="5"/>
              </w:numPr>
              <w:pBdr>
                <w:top w:val="nil"/>
                <w:left w:val="nil"/>
                <w:bottom w:val="nil"/>
                <w:right w:val="nil"/>
                <w:between w:val="nil"/>
              </w:pBdr>
              <w:rPr>
                <w:color w:val="000000"/>
                <w:sz w:val="22"/>
                <w:szCs w:val="22"/>
                <w:lang w:val="es-419"/>
              </w:rPr>
            </w:pPr>
            <w:r w:rsidRPr="00D063F0">
              <w:rPr>
                <w:color w:val="000000"/>
                <w:sz w:val="22"/>
                <w:szCs w:val="22"/>
                <w:lang w:val="es-419"/>
              </w:rPr>
              <w:t>3.3.2 Lista de verificación de monitoreo y de calidad</w:t>
            </w:r>
          </w:p>
          <w:p w:rsidRPr="00D063F0" w:rsidR="00D063F0" w:rsidP="00D063F0" w:rsidRDefault="00D063F0" w14:paraId="577A4698" w14:textId="77777777">
            <w:pPr>
              <w:numPr>
                <w:ilvl w:val="0"/>
                <w:numId w:val="5"/>
              </w:numPr>
              <w:pBdr>
                <w:top w:val="nil"/>
                <w:left w:val="nil"/>
                <w:bottom w:val="nil"/>
                <w:right w:val="nil"/>
                <w:between w:val="nil"/>
              </w:pBdr>
              <w:rPr>
                <w:color w:val="000000"/>
                <w:sz w:val="22"/>
                <w:szCs w:val="22"/>
                <w:lang w:val="es-419"/>
              </w:rPr>
            </w:pPr>
            <w:r w:rsidRPr="00D063F0">
              <w:rPr>
                <w:color w:val="000000"/>
                <w:sz w:val="22"/>
                <w:szCs w:val="22"/>
                <w:lang w:val="es-419"/>
              </w:rPr>
              <w:t>3.3.3 Plantilla de roles y responsabilidades del personal</w:t>
            </w:r>
          </w:p>
          <w:p w:rsidRPr="00D063F0" w:rsidR="00D063F0" w:rsidP="00D063F0" w:rsidRDefault="00D063F0" w14:paraId="08F307A5" w14:textId="2A5BEB72">
            <w:pPr>
              <w:numPr>
                <w:ilvl w:val="0"/>
                <w:numId w:val="5"/>
              </w:numPr>
              <w:pBdr>
                <w:top w:val="nil"/>
                <w:left w:val="nil"/>
                <w:bottom w:val="nil"/>
                <w:right w:val="nil"/>
                <w:between w:val="nil"/>
              </w:pBdr>
              <w:rPr>
                <w:color w:val="000000"/>
                <w:sz w:val="22"/>
                <w:szCs w:val="22"/>
                <w:lang w:val="es-419"/>
              </w:rPr>
            </w:pPr>
            <w:r w:rsidRPr="00D063F0">
              <w:rPr>
                <w:color w:val="000000"/>
                <w:sz w:val="22"/>
                <w:szCs w:val="22"/>
                <w:lang w:val="es-419"/>
              </w:rPr>
              <w:t xml:space="preserve">3.3.4 Consejos para una </w:t>
            </w:r>
            <w:r w:rsidRPr="00D063F0" w:rsidR="00A5150C">
              <w:rPr>
                <w:color w:val="000000"/>
                <w:sz w:val="22"/>
                <w:szCs w:val="22"/>
                <w:lang w:val="es-419"/>
              </w:rPr>
              <w:t>contratación</w:t>
            </w:r>
            <w:r w:rsidRPr="00D063F0">
              <w:rPr>
                <w:color w:val="000000"/>
                <w:sz w:val="22"/>
                <w:szCs w:val="22"/>
                <w:lang w:val="es-419"/>
              </w:rPr>
              <w:t xml:space="preserve"> segura para el Centro DAPS</w:t>
            </w:r>
          </w:p>
          <w:p w:rsidRPr="00D063F0" w:rsidR="00D063F0" w:rsidP="00D063F0" w:rsidRDefault="00D063F0" w14:paraId="6E78F0EC" w14:textId="6CC82EE9">
            <w:pPr>
              <w:numPr>
                <w:ilvl w:val="0"/>
                <w:numId w:val="5"/>
              </w:numPr>
              <w:pBdr>
                <w:top w:val="nil"/>
                <w:left w:val="nil"/>
                <w:bottom w:val="nil"/>
                <w:right w:val="nil"/>
                <w:between w:val="nil"/>
              </w:pBdr>
              <w:rPr>
                <w:color w:val="000000"/>
                <w:sz w:val="22"/>
                <w:szCs w:val="22"/>
                <w:lang w:val="es-419"/>
              </w:rPr>
            </w:pPr>
            <w:r w:rsidRPr="00D063F0">
              <w:rPr>
                <w:color w:val="000000"/>
                <w:sz w:val="22"/>
                <w:szCs w:val="22"/>
                <w:lang w:val="es-419"/>
              </w:rPr>
              <w:t xml:space="preserve">3.3.5 </w:t>
            </w:r>
            <w:r w:rsidR="00524FC5">
              <w:rPr>
                <w:color w:val="000000"/>
                <w:sz w:val="22"/>
                <w:szCs w:val="22"/>
                <w:lang w:val="es-419"/>
              </w:rPr>
              <w:t xml:space="preserve">Verificación del </w:t>
            </w:r>
            <w:r w:rsidRPr="00D063F0">
              <w:rPr>
                <w:color w:val="000000"/>
                <w:sz w:val="22"/>
                <w:szCs w:val="22"/>
                <w:lang w:val="es-419"/>
              </w:rPr>
              <w:t>personal del Centro DAPS</w:t>
            </w:r>
          </w:p>
          <w:p w:rsidRPr="00D063F0" w:rsidR="00D063F0" w:rsidP="00D063F0" w:rsidRDefault="00D063F0" w14:paraId="30BF7F7A" w14:textId="77777777">
            <w:pPr>
              <w:numPr>
                <w:ilvl w:val="0"/>
                <w:numId w:val="5"/>
              </w:numPr>
              <w:pBdr>
                <w:top w:val="nil"/>
                <w:left w:val="nil"/>
                <w:bottom w:val="nil"/>
                <w:right w:val="nil"/>
                <w:between w:val="nil"/>
              </w:pBdr>
              <w:rPr>
                <w:color w:val="000000"/>
                <w:sz w:val="22"/>
                <w:szCs w:val="22"/>
                <w:lang w:val="es-419"/>
              </w:rPr>
            </w:pPr>
            <w:r w:rsidRPr="00D063F0">
              <w:rPr>
                <w:color w:val="000000"/>
                <w:sz w:val="22"/>
                <w:szCs w:val="22"/>
                <w:lang w:val="es-419"/>
              </w:rPr>
              <w:t>3.3.6 Qué deben y no deben hacer para los voluntarios cuando trabajan en el Centro DAPS</w:t>
            </w:r>
          </w:p>
          <w:p w:rsidRPr="00D063F0" w:rsidR="00D063F0" w:rsidP="00D063F0" w:rsidRDefault="00D063F0" w14:paraId="3D8A3AF8" w14:textId="77777777">
            <w:pPr>
              <w:numPr>
                <w:ilvl w:val="0"/>
                <w:numId w:val="5"/>
              </w:numPr>
              <w:pBdr>
                <w:top w:val="nil"/>
                <w:left w:val="nil"/>
                <w:bottom w:val="nil"/>
                <w:right w:val="nil"/>
                <w:between w:val="nil"/>
              </w:pBdr>
              <w:rPr>
                <w:color w:val="000000"/>
                <w:sz w:val="22"/>
                <w:szCs w:val="22"/>
                <w:lang w:val="es-419"/>
              </w:rPr>
            </w:pPr>
            <w:r w:rsidRPr="00D063F0">
              <w:rPr>
                <w:color w:val="000000"/>
                <w:sz w:val="22"/>
                <w:szCs w:val="22"/>
                <w:lang w:val="es-419"/>
              </w:rPr>
              <w:t>3.3.7 Plantillas de registro y asistencia</w:t>
            </w:r>
          </w:p>
          <w:p w:rsidRPr="00D063F0" w:rsidR="00D063F0" w:rsidP="00D063F0" w:rsidRDefault="00D063F0" w14:paraId="7B051927" w14:textId="77777777">
            <w:pPr>
              <w:numPr>
                <w:ilvl w:val="0"/>
                <w:numId w:val="5"/>
              </w:numPr>
              <w:pBdr>
                <w:top w:val="nil"/>
                <w:left w:val="nil"/>
                <w:bottom w:val="nil"/>
                <w:right w:val="nil"/>
                <w:between w:val="nil"/>
              </w:pBdr>
              <w:rPr>
                <w:color w:val="000000"/>
                <w:sz w:val="22"/>
                <w:szCs w:val="22"/>
                <w:lang w:val="es-419"/>
              </w:rPr>
            </w:pPr>
            <w:r w:rsidRPr="00D063F0">
              <w:rPr>
                <w:color w:val="000000"/>
                <w:sz w:val="22"/>
                <w:szCs w:val="22"/>
                <w:lang w:val="es-419"/>
              </w:rPr>
              <w:t>3.3.8 Cuidados hacia el personal y los voluntarios de DAPS</w:t>
            </w:r>
          </w:p>
          <w:p w:rsidRPr="00A24FDB" w:rsidR="007B61D0" w:rsidP="00D063F0" w:rsidRDefault="00D063F0" w14:paraId="137356A3" w14:textId="0DA2DDF0">
            <w:pPr>
              <w:numPr>
                <w:ilvl w:val="0"/>
                <w:numId w:val="5"/>
              </w:numPr>
              <w:pBdr>
                <w:top w:val="nil"/>
                <w:left w:val="nil"/>
                <w:bottom w:val="nil"/>
                <w:right w:val="nil"/>
                <w:between w:val="nil"/>
              </w:pBdr>
              <w:rPr>
                <w:color w:val="000000"/>
                <w:sz w:val="22"/>
                <w:szCs w:val="22"/>
                <w:lang w:val="es-419"/>
              </w:rPr>
            </w:pPr>
            <w:r w:rsidRPr="00D063F0">
              <w:rPr>
                <w:color w:val="000000"/>
                <w:sz w:val="22"/>
                <w:szCs w:val="22"/>
                <w:lang w:val="es-419"/>
              </w:rPr>
              <w:t>3.3.9 Lista de verificación para la transición a (la salida o) la recuperación</w:t>
            </w:r>
          </w:p>
        </w:tc>
        <w:tc>
          <w:tcPr>
            <w:tcW w:w="3121" w:type="dxa"/>
            <w:tcMar/>
          </w:tcPr>
          <w:p w:rsidRPr="00A24FDB" w:rsidR="007B61D0" w:rsidRDefault="00A5150C" w14:paraId="4ACF7219" w14:textId="0678CA13">
            <w:pPr>
              <w:rPr>
                <w:color w:val="000000"/>
                <w:sz w:val="22"/>
                <w:szCs w:val="22"/>
                <w:lang w:val="es-419"/>
              </w:rPr>
            </w:pPr>
            <w:r w:rsidRPr="00A5150C">
              <w:rPr>
                <w:color w:val="000000"/>
                <w:sz w:val="22"/>
                <w:szCs w:val="22"/>
                <w:lang w:val="es-419"/>
              </w:rPr>
              <w:t>Principalmente centrado en la fase de socorro, pero el mapeo y el sistema de re</w:t>
            </w:r>
            <w:r w:rsidR="00C93D33">
              <w:rPr>
                <w:color w:val="000000"/>
                <w:sz w:val="22"/>
                <w:szCs w:val="22"/>
                <w:lang w:val="es-419"/>
              </w:rPr>
              <w:t>misiones</w:t>
            </w:r>
            <w:r w:rsidRPr="00A5150C">
              <w:rPr>
                <w:color w:val="000000"/>
                <w:sz w:val="22"/>
                <w:szCs w:val="22"/>
                <w:lang w:val="es-419"/>
              </w:rPr>
              <w:t xml:space="preserve"> son cruciales para la recuperación inclusiva</w:t>
            </w:r>
            <w:r w:rsidRPr="00A24FDB" w:rsidR="000C6B6A">
              <w:rPr>
                <w:color w:val="000000"/>
                <w:sz w:val="22"/>
                <w:szCs w:val="22"/>
                <w:lang w:val="es-419"/>
              </w:rPr>
              <w:t>.</w:t>
            </w:r>
          </w:p>
        </w:tc>
        <w:tc>
          <w:tcPr>
            <w:tcW w:w="1612" w:type="dxa"/>
            <w:tcMar/>
          </w:tcPr>
          <w:p w:rsidRPr="00A24FDB" w:rsidR="007B61D0" w:rsidRDefault="00421E6F" w14:paraId="1358FC7B" w14:textId="6AE4AB71">
            <w:pPr>
              <w:rPr>
                <w:color w:val="000000"/>
                <w:sz w:val="22"/>
                <w:szCs w:val="22"/>
                <w:lang w:val="es-419"/>
              </w:rPr>
            </w:pPr>
            <w:r>
              <w:rPr>
                <w:color w:val="000000"/>
                <w:sz w:val="22"/>
                <w:szCs w:val="22"/>
                <w:lang w:val="es-419"/>
              </w:rPr>
              <w:t>Especializado</w:t>
            </w:r>
          </w:p>
          <w:p w:rsidRPr="00A24FDB" w:rsidR="007B61D0" w:rsidRDefault="007B61D0" w14:paraId="57DAB487" w14:textId="77777777">
            <w:pPr>
              <w:rPr>
                <w:color w:val="000000"/>
                <w:sz w:val="22"/>
                <w:szCs w:val="22"/>
                <w:lang w:val="es-419"/>
              </w:rPr>
            </w:pPr>
          </w:p>
          <w:p w:rsidRPr="00A24FDB" w:rsidR="007B61D0" w:rsidRDefault="007B61D0" w14:paraId="7C4C8192" w14:textId="77777777">
            <w:pPr>
              <w:rPr>
                <w:color w:val="000000"/>
                <w:sz w:val="22"/>
                <w:szCs w:val="22"/>
                <w:lang w:val="es-419"/>
              </w:rPr>
            </w:pPr>
          </w:p>
          <w:p w:rsidRPr="00A24FDB" w:rsidR="007B61D0" w:rsidRDefault="007B61D0" w14:paraId="1E13B8C6" w14:textId="77777777">
            <w:pPr>
              <w:rPr>
                <w:color w:val="000000"/>
                <w:sz w:val="22"/>
                <w:szCs w:val="22"/>
                <w:lang w:val="es-419"/>
              </w:rPr>
            </w:pPr>
          </w:p>
          <w:p w:rsidRPr="00A24FDB" w:rsidR="007B61D0" w:rsidRDefault="007B61D0" w14:paraId="75A44BC8" w14:textId="77777777">
            <w:pPr>
              <w:rPr>
                <w:color w:val="000000"/>
                <w:sz w:val="22"/>
                <w:szCs w:val="22"/>
                <w:lang w:val="es-419"/>
              </w:rPr>
            </w:pPr>
          </w:p>
          <w:p w:rsidRPr="00A24FDB" w:rsidR="007B61D0" w:rsidRDefault="007B61D0" w14:paraId="3AFC3F47" w14:textId="77777777">
            <w:pPr>
              <w:rPr>
                <w:color w:val="000000"/>
                <w:sz w:val="22"/>
                <w:szCs w:val="22"/>
                <w:lang w:val="es-419"/>
              </w:rPr>
            </w:pPr>
          </w:p>
          <w:p w:rsidRPr="00A24FDB" w:rsidR="007B61D0" w:rsidRDefault="007B61D0" w14:paraId="7A1457F0" w14:textId="77777777">
            <w:pPr>
              <w:rPr>
                <w:color w:val="000000"/>
                <w:sz w:val="22"/>
                <w:szCs w:val="22"/>
                <w:lang w:val="es-419"/>
              </w:rPr>
            </w:pPr>
          </w:p>
          <w:p w:rsidRPr="00A24FDB" w:rsidR="007B61D0" w:rsidRDefault="007B61D0" w14:paraId="797E8786" w14:textId="77777777">
            <w:pPr>
              <w:rPr>
                <w:color w:val="000000"/>
                <w:sz w:val="22"/>
                <w:szCs w:val="22"/>
                <w:lang w:val="es-419"/>
              </w:rPr>
            </w:pPr>
          </w:p>
          <w:p w:rsidRPr="00A24FDB" w:rsidR="007B61D0" w:rsidRDefault="007B61D0" w14:paraId="06220AE8" w14:textId="77777777">
            <w:pPr>
              <w:rPr>
                <w:color w:val="000000"/>
                <w:sz w:val="22"/>
                <w:szCs w:val="22"/>
                <w:lang w:val="es-419"/>
              </w:rPr>
            </w:pPr>
          </w:p>
          <w:p w:rsidRPr="00A24FDB" w:rsidR="007B61D0" w:rsidRDefault="007B61D0" w14:paraId="6309170F" w14:textId="77777777">
            <w:pPr>
              <w:rPr>
                <w:color w:val="000000"/>
                <w:sz w:val="22"/>
                <w:szCs w:val="22"/>
                <w:lang w:val="es-419"/>
              </w:rPr>
            </w:pPr>
          </w:p>
          <w:p w:rsidRPr="00A24FDB" w:rsidR="007B61D0" w:rsidRDefault="007B61D0" w14:paraId="6EC67DCD" w14:textId="77777777">
            <w:pPr>
              <w:rPr>
                <w:color w:val="000000"/>
                <w:sz w:val="22"/>
                <w:szCs w:val="22"/>
                <w:lang w:val="es-419"/>
              </w:rPr>
            </w:pPr>
          </w:p>
          <w:p w:rsidRPr="00A24FDB" w:rsidR="007B61D0" w:rsidRDefault="007B61D0" w14:paraId="4FD51C21" w14:textId="77777777">
            <w:pPr>
              <w:rPr>
                <w:color w:val="000000"/>
                <w:sz w:val="22"/>
                <w:szCs w:val="22"/>
                <w:lang w:val="es-419"/>
              </w:rPr>
            </w:pPr>
          </w:p>
          <w:p w:rsidRPr="00A24FDB" w:rsidR="007B61D0" w:rsidRDefault="007B61D0" w14:paraId="3DA5052A" w14:textId="77777777">
            <w:pPr>
              <w:rPr>
                <w:color w:val="000000"/>
                <w:sz w:val="22"/>
                <w:szCs w:val="22"/>
                <w:lang w:val="es-419"/>
              </w:rPr>
            </w:pPr>
          </w:p>
          <w:p w:rsidRPr="00A24FDB" w:rsidR="007B61D0" w:rsidRDefault="007B61D0" w14:paraId="7EC3FAAA" w14:textId="77777777">
            <w:pPr>
              <w:rPr>
                <w:color w:val="000000"/>
                <w:sz w:val="22"/>
                <w:szCs w:val="22"/>
                <w:lang w:val="es-419"/>
              </w:rPr>
            </w:pPr>
          </w:p>
          <w:p w:rsidRPr="00A24FDB" w:rsidR="007B61D0" w:rsidRDefault="007B61D0" w14:paraId="3F7446DE" w14:textId="77777777">
            <w:pPr>
              <w:rPr>
                <w:color w:val="000000"/>
                <w:sz w:val="22"/>
                <w:szCs w:val="22"/>
                <w:lang w:val="es-419"/>
              </w:rPr>
            </w:pPr>
          </w:p>
          <w:p w:rsidRPr="00A24FDB" w:rsidR="007B61D0" w:rsidRDefault="007B61D0" w14:paraId="6ACF76E8" w14:textId="77777777">
            <w:pPr>
              <w:rPr>
                <w:color w:val="000000"/>
                <w:sz w:val="22"/>
                <w:szCs w:val="22"/>
                <w:lang w:val="es-419"/>
              </w:rPr>
            </w:pPr>
          </w:p>
          <w:p w:rsidRPr="00A24FDB" w:rsidR="007B61D0" w:rsidRDefault="007B61D0" w14:paraId="34118E54" w14:textId="77777777">
            <w:pPr>
              <w:rPr>
                <w:color w:val="000000"/>
                <w:sz w:val="22"/>
                <w:szCs w:val="22"/>
                <w:lang w:val="es-419"/>
              </w:rPr>
            </w:pPr>
          </w:p>
          <w:p w:rsidRPr="00A24FDB" w:rsidR="007B61D0" w:rsidRDefault="007B61D0" w14:paraId="208E03A9" w14:textId="77777777">
            <w:pPr>
              <w:rPr>
                <w:color w:val="000000"/>
                <w:sz w:val="22"/>
                <w:szCs w:val="22"/>
                <w:lang w:val="es-419"/>
              </w:rPr>
            </w:pPr>
          </w:p>
          <w:p w:rsidRPr="00A24FDB" w:rsidR="007B61D0" w:rsidRDefault="007B61D0" w14:paraId="032F2764" w14:textId="77777777">
            <w:pPr>
              <w:rPr>
                <w:color w:val="000000"/>
                <w:sz w:val="22"/>
                <w:szCs w:val="22"/>
                <w:lang w:val="es-419"/>
              </w:rPr>
            </w:pPr>
          </w:p>
          <w:p w:rsidRPr="00A24FDB" w:rsidR="007B61D0" w:rsidRDefault="007B61D0" w14:paraId="4306D542" w14:textId="77777777">
            <w:pPr>
              <w:rPr>
                <w:color w:val="000000"/>
                <w:sz w:val="22"/>
                <w:szCs w:val="22"/>
                <w:lang w:val="es-419"/>
              </w:rPr>
            </w:pPr>
          </w:p>
        </w:tc>
      </w:tr>
      <w:tr w:rsidRPr="00A24FDB" w:rsidR="007B61D0" w:rsidTr="5574D9F5" w14:paraId="720D8BA8" w14:textId="77777777">
        <w:trPr>
          <w:trHeight w:val="440"/>
        </w:trPr>
        <w:tc>
          <w:tcPr>
            <w:tcW w:w="1697" w:type="dxa"/>
            <w:vMerge/>
            <w:tcMar/>
            <w:vAlign w:val="center"/>
          </w:tcPr>
          <w:p w:rsidRPr="00A24FDB" w:rsidR="007B61D0" w:rsidRDefault="007B61D0" w14:paraId="6B17E9B5" w14:textId="77777777">
            <w:pPr>
              <w:widowControl w:val="0"/>
              <w:pBdr>
                <w:top w:val="nil"/>
                <w:left w:val="nil"/>
                <w:bottom w:val="nil"/>
                <w:right w:val="nil"/>
                <w:between w:val="nil"/>
              </w:pBdr>
              <w:spacing w:line="276" w:lineRule="auto"/>
              <w:rPr>
                <w:color w:val="000000"/>
                <w:sz w:val="22"/>
                <w:szCs w:val="22"/>
                <w:lang w:val="es-419"/>
              </w:rPr>
            </w:pPr>
          </w:p>
        </w:tc>
        <w:tc>
          <w:tcPr>
            <w:tcW w:w="2835" w:type="dxa"/>
            <w:gridSpan w:val="2"/>
            <w:tcMar/>
          </w:tcPr>
          <w:p w:rsidRPr="00A24FDB" w:rsidR="007B61D0" w:rsidRDefault="000C6B6A" w14:paraId="0F6DBB12" w14:textId="0E2491F0">
            <w:pPr>
              <w:rPr>
                <w:color w:val="000000"/>
                <w:sz w:val="22"/>
                <w:szCs w:val="22"/>
                <w:lang w:val="es-419"/>
              </w:rPr>
            </w:pPr>
            <w:r w:rsidRPr="5A9AD4E6" w:rsidR="000C6B6A">
              <w:rPr>
                <w:color w:val="000000" w:themeColor="text1" w:themeTint="FF" w:themeShade="FF"/>
                <w:sz w:val="22"/>
                <w:szCs w:val="22"/>
                <w:lang w:val="es-419"/>
              </w:rPr>
              <w:t xml:space="preserve">3.4 </w:t>
            </w:r>
            <w:r w:rsidRPr="5A9AD4E6" w:rsidR="13BADB02">
              <w:rPr>
                <w:color w:val="000000" w:themeColor="text1" w:themeTint="FF" w:themeShade="FF"/>
                <w:sz w:val="22"/>
                <w:szCs w:val="22"/>
                <w:lang w:val="es-419"/>
              </w:rPr>
              <w:t>Formulario de seguimiento de incidentes PGI</w:t>
            </w:r>
          </w:p>
        </w:tc>
        <w:tc>
          <w:tcPr>
            <w:tcW w:w="3121" w:type="dxa"/>
            <w:tcMar/>
          </w:tcPr>
          <w:p w:rsidRPr="00A24FDB" w:rsidR="007B61D0" w:rsidP="5A9AD4E6" w:rsidRDefault="00A5150C" w14:paraId="05ECE534" w14:textId="7FFC0ECC">
            <w:pPr>
              <w:rPr>
                <w:color w:val="000000" w:themeColor="text1" w:themeTint="FF" w:themeShade="FF"/>
                <w:sz w:val="22"/>
                <w:szCs w:val="22"/>
                <w:lang w:val="es-419"/>
              </w:rPr>
            </w:pPr>
            <w:r w:rsidRPr="5A9AD4E6" w:rsidR="3A4ACCAB">
              <w:rPr>
                <w:color w:val="000000" w:themeColor="text1" w:themeTint="FF" w:themeShade="FF"/>
                <w:sz w:val="22"/>
                <w:szCs w:val="22"/>
                <w:lang w:val="es-419"/>
              </w:rPr>
              <w:t>Esta herramienta es más directamente relevante para la fase de respuesta (ya que otros mecanismos de</w:t>
            </w:r>
          </w:p>
          <w:p w:rsidRPr="00A24FDB" w:rsidR="007B61D0" w:rsidP="5A9AD4E6" w:rsidRDefault="00A5150C" w14:paraId="5249A6C1" w14:textId="5DF07545">
            <w:pPr>
              <w:pStyle w:val="Normal"/>
              <w:rPr>
                <w:color w:val="000000" w:themeColor="text1" w:themeTint="FF" w:themeShade="FF"/>
                <w:sz w:val="22"/>
                <w:szCs w:val="22"/>
                <w:lang w:val="es-419"/>
              </w:rPr>
            </w:pPr>
            <w:r w:rsidRPr="5A9AD4E6" w:rsidR="3A4ACCAB">
              <w:rPr>
                <w:color w:val="000000" w:themeColor="text1" w:themeTint="FF" w:themeShade="FF"/>
                <w:sz w:val="22"/>
                <w:szCs w:val="22"/>
                <w:lang w:val="es-419"/>
              </w:rPr>
              <w:t>mecanismos de supervisión del estado deberían estar en marcha después de la fase de respuesta),</w:t>
            </w:r>
          </w:p>
          <w:p w:rsidRPr="00A24FDB" w:rsidR="007B61D0" w:rsidP="5A9AD4E6" w:rsidRDefault="00A5150C" w14:paraId="7FAE4DD1" w14:textId="63DE5719">
            <w:pPr>
              <w:pStyle w:val="Normal"/>
              <w:rPr>
                <w:color w:val="000000"/>
                <w:sz w:val="22"/>
                <w:szCs w:val="22"/>
                <w:lang w:val="es-419"/>
              </w:rPr>
            </w:pPr>
            <w:r w:rsidRPr="5A9AD4E6" w:rsidR="3A4ACCAB">
              <w:rPr>
                <w:color w:val="000000" w:themeColor="text1" w:themeTint="FF" w:themeShade="FF"/>
                <w:sz w:val="22"/>
                <w:szCs w:val="22"/>
                <w:lang w:val="es-419"/>
              </w:rPr>
              <w:t>aunque puede aplicarse en la recuperación</w:t>
            </w:r>
          </w:p>
        </w:tc>
        <w:tc>
          <w:tcPr>
            <w:tcW w:w="1612" w:type="dxa"/>
            <w:tcMar/>
          </w:tcPr>
          <w:p w:rsidRPr="00A24FDB" w:rsidR="007B61D0" w:rsidP="5A9AD4E6" w:rsidRDefault="00421E6F" w14:paraId="5CEC588A" w14:textId="05E299D3">
            <w:pPr>
              <w:pStyle w:val="Normal"/>
              <w:bidi w:val="0"/>
              <w:spacing w:before="0" w:beforeAutospacing="off" w:after="0" w:afterAutospacing="off" w:line="259" w:lineRule="auto"/>
              <w:ind w:left="0" w:right="0"/>
              <w:jc w:val="left"/>
              <w:rPr>
                <w:color w:val="000000" w:themeColor="text1" w:themeTint="FF" w:themeShade="FF"/>
                <w:sz w:val="22"/>
                <w:szCs w:val="22"/>
                <w:lang w:val="es-419"/>
              </w:rPr>
            </w:pPr>
            <w:r w:rsidRPr="5A9AD4E6" w:rsidR="098020B9">
              <w:rPr>
                <w:color w:val="000000" w:themeColor="text1" w:themeTint="FF" w:themeShade="FF"/>
                <w:sz w:val="22"/>
                <w:szCs w:val="22"/>
                <w:lang w:val="es-419"/>
              </w:rPr>
              <w:t>Experimentado</w:t>
            </w:r>
          </w:p>
        </w:tc>
      </w:tr>
      <w:tr w:rsidR="5A9AD4E6" w:rsidTr="5574D9F5" w14:paraId="78D75D6B">
        <w:trPr>
          <w:trHeight w:val="440"/>
        </w:trPr>
        <w:tc>
          <w:tcPr>
            <w:tcW w:w="1697" w:type="dxa"/>
            <w:vMerge/>
            <w:tcMar/>
            <w:vAlign w:val="center"/>
          </w:tcPr>
          <w:p w14:paraId="5838789E"/>
        </w:tc>
        <w:tc>
          <w:tcPr>
            <w:tcW w:w="2835" w:type="dxa"/>
            <w:gridSpan w:val="2"/>
            <w:tcMar/>
          </w:tcPr>
          <w:p w:rsidR="216946F6" w:rsidP="5A9AD4E6" w:rsidRDefault="216946F6" w14:paraId="25423AD4" w14:textId="1EB29F4F">
            <w:pPr>
              <w:pStyle w:val="Normal"/>
              <w:rPr>
                <w:color w:val="000000" w:themeColor="text1" w:themeTint="FF" w:themeShade="FF"/>
                <w:sz w:val="22"/>
                <w:szCs w:val="22"/>
                <w:lang w:val="es-419"/>
              </w:rPr>
            </w:pPr>
            <w:r w:rsidRPr="5A9AD4E6" w:rsidR="216946F6">
              <w:rPr>
                <w:color w:val="000000" w:themeColor="text1" w:themeTint="FF" w:themeShade="FF"/>
                <w:sz w:val="22"/>
                <w:szCs w:val="22"/>
                <w:lang w:val="es-419"/>
              </w:rPr>
              <w:t xml:space="preserve">3.5 </w:t>
            </w:r>
            <w:r w:rsidRPr="5A9AD4E6" w:rsidR="42EA96E8">
              <w:rPr>
                <w:color w:val="000000" w:themeColor="text1" w:themeTint="FF" w:themeShade="FF"/>
                <w:sz w:val="22"/>
                <w:szCs w:val="22"/>
                <w:lang w:val="es-419"/>
              </w:rPr>
              <w:t>Lista</w:t>
            </w:r>
            <w:r w:rsidRPr="5A9AD4E6" w:rsidR="42EA96E8">
              <w:rPr>
                <w:color w:val="000000" w:themeColor="text1" w:themeTint="FF" w:themeShade="FF"/>
                <w:sz w:val="22"/>
                <w:szCs w:val="22"/>
                <w:lang w:val="es-419"/>
              </w:rPr>
              <w:t xml:space="preserve"> de entrega al final de la misión PGI</w:t>
            </w:r>
          </w:p>
        </w:tc>
        <w:tc>
          <w:tcPr>
            <w:tcW w:w="3121" w:type="dxa"/>
            <w:tcMar/>
          </w:tcPr>
          <w:p w:rsidR="42EA96E8" w:rsidP="5A9AD4E6" w:rsidRDefault="42EA96E8" w14:noSpellErr="1" w14:paraId="313790E7" w14:textId="66DB47E4">
            <w:pPr>
              <w:rPr>
                <w:color w:val="000000" w:themeColor="text1" w:themeTint="FF" w:themeShade="FF"/>
                <w:sz w:val="22"/>
                <w:szCs w:val="22"/>
                <w:lang w:val="es-419"/>
              </w:rPr>
            </w:pPr>
            <w:r w:rsidRPr="5A9AD4E6" w:rsidR="42EA96E8">
              <w:rPr>
                <w:color w:val="000000" w:themeColor="text1" w:themeTint="FF" w:themeShade="FF"/>
                <w:sz w:val="22"/>
                <w:szCs w:val="22"/>
                <w:lang w:val="es-419"/>
              </w:rPr>
              <w:t>Pertinente solo para la fase de respuesta. Los resultados pueden servir de base para la transición a la recuperación.</w:t>
            </w:r>
          </w:p>
          <w:p w:rsidR="5A9AD4E6" w:rsidP="5A9AD4E6" w:rsidRDefault="5A9AD4E6" w14:paraId="4054A421" w14:textId="34177ED8">
            <w:pPr>
              <w:pStyle w:val="Normal"/>
              <w:rPr>
                <w:color w:val="000000" w:themeColor="text1" w:themeTint="FF" w:themeShade="FF"/>
                <w:sz w:val="22"/>
                <w:szCs w:val="22"/>
                <w:lang w:val="es-419"/>
              </w:rPr>
            </w:pPr>
          </w:p>
        </w:tc>
        <w:tc>
          <w:tcPr>
            <w:tcW w:w="1612" w:type="dxa"/>
            <w:tcMar/>
          </w:tcPr>
          <w:p w:rsidR="0B93705D" w:rsidP="5A9AD4E6" w:rsidRDefault="0B93705D" w14:paraId="259AF11C" w14:textId="09E6E341">
            <w:pPr>
              <w:pStyle w:val="Normal"/>
              <w:rPr>
                <w:color w:val="000000" w:themeColor="text1" w:themeTint="FF" w:themeShade="FF"/>
                <w:sz w:val="22"/>
                <w:szCs w:val="22"/>
                <w:lang w:val="es-419"/>
              </w:rPr>
            </w:pPr>
            <w:r w:rsidRPr="5A9AD4E6" w:rsidR="0B93705D">
              <w:rPr>
                <w:color w:val="000000" w:themeColor="text1" w:themeTint="FF" w:themeShade="FF"/>
                <w:sz w:val="22"/>
                <w:szCs w:val="22"/>
                <w:lang w:val="es-419"/>
              </w:rPr>
              <w:t>Novato</w:t>
            </w:r>
          </w:p>
        </w:tc>
      </w:tr>
      <w:tr w:rsidRPr="00A24FDB" w:rsidR="007B61D0" w:rsidTr="5574D9F5" w14:paraId="3E349D45" w14:textId="77777777">
        <w:trPr>
          <w:trHeight w:val="440"/>
        </w:trPr>
        <w:tc>
          <w:tcPr>
            <w:tcW w:w="1697" w:type="dxa"/>
            <w:vMerge/>
            <w:tcMar/>
            <w:vAlign w:val="center"/>
          </w:tcPr>
          <w:p w:rsidRPr="00A24FDB" w:rsidR="007B61D0" w:rsidRDefault="007B61D0" w14:paraId="0CB3B0F5" w14:textId="77777777">
            <w:pPr>
              <w:widowControl w:val="0"/>
              <w:pBdr>
                <w:top w:val="nil"/>
                <w:left w:val="nil"/>
                <w:bottom w:val="nil"/>
                <w:right w:val="nil"/>
                <w:between w:val="nil"/>
              </w:pBdr>
              <w:spacing w:line="276" w:lineRule="auto"/>
              <w:rPr>
                <w:color w:val="000000"/>
                <w:sz w:val="22"/>
                <w:szCs w:val="22"/>
                <w:lang w:val="es-419"/>
              </w:rPr>
            </w:pPr>
          </w:p>
        </w:tc>
        <w:tc>
          <w:tcPr>
            <w:tcW w:w="2835" w:type="dxa"/>
            <w:gridSpan w:val="2"/>
            <w:tcMar/>
          </w:tcPr>
          <w:p w:rsidRPr="00A24FDB" w:rsidR="007B61D0" w:rsidP="00A5150C" w:rsidRDefault="000C6B6A" w14:paraId="452CE2D6" w14:textId="18131BCB">
            <w:pPr>
              <w:rPr>
                <w:color w:val="000000"/>
                <w:sz w:val="22"/>
                <w:szCs w:val="22"/>
                <w:lang w:val="es-419"/>
              </w:rPr>
            </w:pPr>
            <w:r w:rsidRPr="5A9AD4E6" w:rsidR="000C6B6A">
              <w:rPr>
                <w:color w:val="000000" w:themeColor="text1" w:themeTint="FF" w:themeShade="FF"/>
                <w:sz w:val="22"/>
                <w:szCs w:val="22"/>
                <w:lang w:val="es-419"/>
              </w:rPr>
              <w:t>3.</w:t>
            </w:r>
            <w:r w:rsidRPr="5A9AD4E6" w:rsidR="1C343296">
              <w:rPr>
                <w:color w:val="000000" w:themeColor="text1" w:themeTint="FF" w:themeShade="FF"/>
                <w:sz w:val="22"/>
                <w:szCs w:val="22"/>
                <w:lang w:val="es-419"/>
              </w:rPr>
              <w:t>6</w:t>
            </w:r>
            <w:r w:rsidRPr="5A9AD4E6" w:rsidR="000C6B6A">
              <w:rPr>
                <w:color w:val="000000" w:themeColor="text1" w:themeTint="FF" w:themeShade="FF"/>
                <w:sz w:val="22"/>
                <w:szCs w:val="22"/>
                <w:lang w:val="es-419"/>
              </w:rPr>
              <w:t xml:space="preserve"> </w:t>
            </w:r>
            <w:r w:rsidRPr="5A9AD4E6" w:rsidR="104B2C15">
              <w:rPr>
                <w:color w:val="000000" w:themeColor="text1" w:themeTint="FF" w:themeShade="FF"/>
                <w:sz w:val="22"/>
                <w:szCs w:val="22"/>
                <w:lang w:val="es-419"/>
              </w:rPr>
              <w:t xml:space="preserve">Breve orientación sobre la PGI en la Recuperación </w:t>
            </w:r>
          </w:p>
          <w:p w:rsidRPr="00A24FDB" w:rsidR="007B61D0" w:rsidRDefault="00A5150C" w14:paraId="66070953" w14:textId="381BBFAB">
            <w:pPr>
              <w:rPr>
                <w:color w:val="000000"/>
                <w:sz w:val="22"/>
                <w:szCs w:val="22"/>
                <w:lang w:val="es-419"/>
              </w:rPr>
            </w:pPr>
            <w:r w:rsidRPr="5A9AD4E6" w:rsidR="104B2C15">
              <w:rPr>
                <w:color w:val="000000" w:themeColor="text1" w:themeTint="FF" w:themeShade="FF"/>
                <w:sz w:val="22"/>
                <w:szCs w:val="22"/>
                <w:lang w:val="es-ES"/>
              </w:rPr>
              <w:t>Ejemplos disponibles como archivos adjuntos</w:t>
            </w:r>
            <w:r w:rsidRPr="5A9AD4E6" w:rsidR="37A2D028">
              <w:rPr>
                <w:color w:val="000000" w:themeColor="text1" w:themeTint="FF" w:themeShade="FF"/>
                <w:sz w:val="22"/>
                <w:szCs w:val="22"/>
                <w:lang w:val="es-ES"/>
              </w:rPr>
              <w:t>.</w:t>
            </w:r>
          </w:p>
          <w:p w:rsidR="37A2D028" w:rsidP="5A9AD4E6" w:rsidRDefault="37A2D028" w14:paraId="31949473" w14:textId="115635C5">
            <w:pPr>
              <w:pStyle w:val="Normal"/>
              <w:rPr>
                <w:color w:val="000000" w:themeColor="text1" w:themeTint="FF" w:themeShade="FF"/>
                <w:sz w:val="22"/>
                <w:szCs w:val="22"/>
                <w:lang w:val="es-ES"/>
              </w:rPr>
            </w:pPr>
            <w:r w:rsidRPr="5A9AD4E6" w:rsidR="37A2D028">
              <w:rPr>
                <w:color w:val="000000" w:themeColor="text1" w:themeTint="FF" w:themeShade="FF"/>
                <w:sz w:val="22"/>
                <w:szCs w:val="22"/>
                <w:lang w:val="es-ES"/>
              </w:rPr>
              <w:t>Ejemplos:</w:t>
            </w:r>
          </w:p>
          <w:p w:rsidRPr="00A5150C" w:rsidR="00A5150C" w:rsidP="00A5150C" w:rsidRDefault="00A5150C" w14:paraId="7C767539" w14:textId="77777777">
            <w:pPr>
              <w:numPr>
                <w:ilvl w:val="0"/>
                <w:numId w:val="5"/>
              </w:numPr>
              <w:pBdr>
                <w:top w:val="nil"/>
                <w:left w:val="nil"/>
                <w:bottom w:val="nil"/>
                <w:right w:val="nil"/>
                <w:between w:val="nil"/>
              </w:pBdr>
              <w:rPr>
                <w:color w:val="000000"/>
                <w:sz w:val="22"/>
                <w:szCs w:val="22"/>
                <w:lang w:val="es-419"/>
              </w:rPr>
            </w:pPr>
            <w:proofErr w:type="spellStart"/>
            <w:r w:rsidRPr="00A5150C">
              <w:rPr>
                <w:color w:val="000000"/>
                <w:sz w:val="22"/>
                <w:szCs w:val="22"/>
                <w:lang w:val="es-419"/>
              </w:rPr>
              <w:t>Palang</w:t>
            </w:r>
            <w:proofErr w:type="spellEnd"/>
            <w:r w:rsidRPr="00A5150C">
              <w:rPr>
                <w:color w:val="000000"/>
                <w:sz w:val="22"/>
                <w:szCs w:val="22"/>
                <w:lang w:val="es-419"/>
              </w:rPr>
              <w:t xml:space="preserve"> </w:t>
            </w:r>
            <w:proofErr w:type="spellStart"/>
            <w:r w:rsidRPr="00A5150C">
              <w:rPr>
                <w:color w:val="000000"/>
                <w:sz w:val="22"/>
                <w:szCs w:val="22"/>
                <w:lang w:val="es-419"/>
              </w:rPr>
              <w:t>Merah</w:t>
            </w:r>
            <w:proofErr w:type="spellEnd"/>
            <w:r w:rsidRPr="00A5150C">
              <w:rPr>
                <w:color w:val="000000"/>
                <w:sz w:val="22"/>
                <w:szCs w:val="22"/>
                <w:lang w:val="es-419"/>
              </w:rPr>
              <w:t xml:space="preserve"> Indonesia (PMI) Respuestas ante Terremotos y Tsunamis en Indonesia Evaluación de Recuperación Multisectorial para las Operaciones de Lombok y </w:t>
            </w:r>
            <w:proofErr w:type="spellStart"/>
            <w:r w:rsidRPr="00A5150C">
              <w:rPr>
                <w:color w:val="000000"/>
                <w:sz w:val="22"/>
                <w:szCs w:val="22"/>
                <w:lang w:val="es-419"/>
              </w:rPr>
              <w:t>Sulawesi</w:t>
            </w:r>
            <w:proofErr w:type="spellEnd"/>
          </w:p>
          <w:p w:rsidRPr="00A24FDB" w:rsidR="007B61D0" w:rsidP="00A5150C" w:rsidRDefault="00A5150C" w14:paraId="3D629E65" w14:textId="1A3B59EA">
            <w:pPr>
              <w:numPr>
                <w:ilvl w:val="0"/>
                <w:numId w:val="5"/>
              </w:numPr>
              <w:pBdr>
                <w:top w:val="nil"/>
                <w:left w:val="nil"/>
                <w:bottom w:val="nil"/>
                <w:right w:val="nil"/>
                <w:between w:val="nil"/>
              </w:pBdr>
              <w:rPr>
                <w:color w:val="000000"/>
                <w:sz w:val="22"/>
                <w:szCs w:val="22"/>
                <w:lang w:val="es-419"/>
              </w:rPr>
            </w:pPr>
            <w:r w:rsidRPr="00A5150C">
              <w:rPr>
                <w:color w:val="000000"/>
                <w:sz w:val="22"/>
                <w:szCs w:val="22"/>
                <w:lang w:val="es-419"/>
              </w:rPr>
              <w:t>Evaluación de la Cruz Roja de Nepal y</w:t>
            </w:r>
            <w:r>
              <w:rPr>
                <w:color w:val="000000"/>
                <w:sz w:val="22"/>
                <w:szCs w:val="22"/>
                <w:lang w:val="es-419"/>
              </w:rPr>
              <w:t xml:space="preserve"> </w:t>
            </w:r>
            <w:r w:rsidRPr="00A5150C">
              <w:rPr>
                <w:color w:val="000000"/>
                <w:sz w:val="22"/>
                <w:szCs w:val="22"/>
                <w:lang w:val="es-419"/>
              </w:rPr>
              <w:t>Guía de la Encuesta de Línea de Base para la Operación de Recuperación en 14 distritos</w:t>
            </w:r>
          </w:p>
        </w:tc>
        <w:tc>
          <w:tcPr>
            <w:tcW w:w="3121" w:type="dxa"/>
            <w:tcMar/>
          </w:tcPr>
          <w:p w:rsidRPr="00A24FDB" w:rsidR="007B61D0" w:rsidRDefault="00A5150C" w14:paraId="0B6369A7" w14:textId="0DC348EB">
            <w:pPr>
              <w:rPr>
                <w:color w:val="000000"/>
                <w:sz w:val="22"/>
                <w:szCs w:val="22"/>
                <w:lang w:val="es-419"/>
              </w:rPr>
            </w:pPr>
            <w:r w:rsidRPr="00A5150C">
              <w:rPr>
                <w:color w:val="000000"/>
                <w:sz w:val="22"/>
                <w:szCs w:val="22"/>
                <w:lang w:val="es-419"/>
              </w:rPr>
              <w:t>Solo orientación de alto nivel - las herramientas detalladas se encuentran en los ejemplos</w:t>
            </w:r>
            <w:r w:rsidRPr="00A24FDB" w:rsidR="000C6B6A">
              <w:rPr>
                <w:color w:val="000000"/>
                <w:sz w:val="22"/>
                <w:szCs w:val="22"/>
                <w:lang w:val="es-419"/>
              </w:rPr>
              <w:t>.</w:t>
            </w:r>
          </w:p>
        </w:tc>
        <w:tc>
          <w:tcPr>
            <w:tcW w:w="1612" w:type="dxa"/>
            <w:tcMar/>
          </w:tcPr>
          <w:p w:rsidRPr="00A24FDB" w:rsidR="007B61D0" w:rsidRDefault="00421E6F" w14:paraId="7FD8E0CA" w14:textId="297BBCEA">
            <w:pPr>
              <w:rPr>
                <w:color w:val="000000"/>
                <w:sz w:val="22"/>
                <w:szCs w:val="22"/>
                <w:lang w:val="es-419"/>
              </w:rPr>
            </w:pPr>
            <w:r>
              <w:rPr>
                <w:color w:val="000000"/>
                <w:sz w:val="22"/>
                <w:szCs w:val="22"/>
                <w:lang w:val="es-419"/>
              </w:rPr>
              <w:t>Novato</w:t>
            </w:r>
          </w:p>
        </w:tc>
      </w:tr>
      <w:tr w:rsidR="5A9AD4E6" w:rsidTr="5574D9F5" w14:paraId="39179E30">
        <w:trPr>
          <w:trHeight w:val="460"/>
        </w:trPr>
        <w:tc>
          <w:tcPr>
            <w:tcW w:w="1697" w:type="dxa"/>
            <w:vMerge w:val="restart"/>
            <w:tcMar/>
            <w:vAlign w:val="center"/>
          </w:tcPr>
          <w:p w:rsidR="5A9AD4E6" w:rsidP="5A9AD4E6" w:rsidRDefault="5A9AD4E6" w14:paraId="6765A357" w14:textId="7A78D33E">
            <w:pPr>
              <w:pStyle w:val="Normal"/>
              <w:rPr>
                <w:b w:val="1"/>
                <w:bCs w:val="1"/>
                <w:color w:val="000000" w:themeColor="text1" w:themeTint="FF" w:themeShade="FF"/>
                <w:sz w:val="22"/>
                <w:szCs w:val="22"/>
                <w:lang w:val="es-419"/>
              </w:rPr>
            </w:pPr>
          </w:p>
          <w:p w:rsidR="000C6B6A" w:rsidP="5A9AD4E6" w:rsidRDefault="000C6B6A" w14:paraId="5B68BC1A" w14:noSpellErr="1" w14:textId="7A6BB159">
            <w:pPr>
              <w:rPr>
                <w:b w:val="1"/>
                <w:bCs w:val="1"/>
                <w:color w:val="000000" w:themeColor="text1" w:themeTint="FF" w:themeShade="FF"/>
                <w:sz w:val="22"/>
                <w:szCs w:val="22"/>
                <w:lang w:val="es-419"/>
              </w:rPr>
            </w:pPr>
            <w:r w:rsidRPr="5A9AD4E6" w:rsidR="000C6B6A">
              <w:rPr>
                <w:b w:val="1"/>
                <w:bCs w:val="1"/>
                <w:color w:val="000000" w:themeColor="text1" w:themeTint="FF" w:themeShade="FF"/>
                <w:sz w:val="22"/>
                <w:szCs w:val="22"/>
                <w:lang w:val="es-419"/>
              </w:rPr>
              <w:t>4. Monitor</w:t>
            </w:r>
            <w:r w:rsidRPr="5A9AD4E6" w:rsidR="1A8902DF">
              <w:rPr>
                <w:b w:val="1"/>
                <w:bCs w:val="1"/>
                <w:color w:val="000000" w:themeColor="text1" w:themeTint="FF" w:themeShade="FF"/>
                <w:sz w:val="22"/>
                <w:szCs w:val="22"/>
                <w:lang w:val="es-419"/>
              </w:rPr>
              <w:t>eo, Evaluación y Presentación de Informes</w:t>
            </w:r>
          </w:p>
        </w:tc>
        <w:tc>
          <w:tcPr>
            <w:tcW w:w="2835" w:type="dxa"/>
            <w:gridSpan w:val="2"/>
            <w:tcMar/>
          </w:tcPr>
          <w:p w:rsidR="3D85346A" w:rsidP="5A9AD4E6" w:rsidRDefault="3D85346A" w14:paraId="30857B64" w14:textId="31024C1C">
            <w:pPr>
              <w:pStyle w:val="Normal"/>
              <w:rPr>
                <w:color w:val="000000" w:themeColor="text1" w:themeTint="FF" w:themeShade="FF"/>
                <w:sz w:val="22"/>
                <w:szCs w:val="22"/>
                <w:lang w:val="es-419"/>
              </w:rPr>
            </w:pPr>
            <w:r w:rsidRPr="5A9AD4E6" w:rsidR="3D85346A">
              <w:rPr>
                <w:color w:val="000000" w:themeColor="text1" w:themeTint="FF" w:themeShade="FF"/>
                <w:sz w:val="22"/>
                <w:szCs w:val="22"/>
                <w:lang w:val="es-419"/>
              </w:rPr>
              <w:t>Monitoreo, Evaluación y Presentación de Informes</w:t>
            </w:r>
          </w:p>
        </w:tc>
        <w:tc>
          <w:tcPr>
            <w:tcW w:w="3121" w:type="dxa"/>
            <w:tcMar/>
          </w:tcPr>
          <w:p w:rsidR="3D85346A" w:rsidP="5A9AD4E6" w:rsidRDefault="3D85346A" w14:paraId="73E0F62C" w14:textId="369656D0">
            <w:pPr>
              <w:pStyle w:val="Normal"/>
              <w:rPr>
                <w:color w:val="000000" w:themeColor="text1" w:themeTint="FF" w:themeShade="FF"/>
                <w:sz w:val="22"/>
                <w:szCs w:val="22"/>
                <w:lang w:val="es-419"/>
              </w:rPr>
            </w:pPr>
            <w:r w:rsidRPr="5A9AD4E6" w:rsidR="3D85346A">
              <w:rPr>
                <w:color w:val="000000" w:themeColor="text1" w:themeTint="FF" w:themeShade="FF"/>
                <w:sz w:val="22"/>
                <w:szCs w:val="22"/>
                <w:lang w:val="es-419"/>
              </w:rPr>
              <w:t>Esta es solo una versión general</w:t>
            </w:r>
          </w:p>
        </w:tc>
        <w:tc>
          <w:tcPr>
            <w:tcW w:w="1612" w:type="dxa"/>
            <w:tcMar/>
          </w:tcPr>
          <w:p w:rsidR="5A9AD4E6" w:rsidP="5A9AD4E6" w:rsidRDefault="5A9AD4E6" w14:paraId="11BFFCBB" w14:textId="0C120E7B">
            <w:pPr>
              <w:pStyle w:val="Normal"/>
              <w:rPr>
                <w:color w:val="000000" w:themeColor="text1" w:themeTint="FF" w:themeShade="FF"/>
                <w:sz w:val="22"/>
                <w:szCs w:val="22"/>
                <w:lang w:val="es-419"/>
              </w:rPr>
            </w:pPr>
          </w:p>
        </w:tc>
      </w:tr>
      <w:tr w:rsidRPr="00A24FDB" w:rsidR="007B61D0" w:rsidTr="5574D9F5" w14:paraId="6534FFAD" w14:textId="77777777">
        <w:trPr>
          <w:trHeight w:val="460"/>
        </w:trPr>
        <w:tc>
          <w:tcPr>
            <w:tcW w:w="1697" w:type="dxa"/>
            <w:vMerge/>
            <w:tcMar/>
            <w:vAlign w:val="center"/>
          </w:tcPr>
          <w:p w:rsidRPr="00A24FDB" w:rsidR="007B61D0" w:rsidRDefault="000C6B6A" w14:paraId="366FC2C0" w14:textId="7A6BB159">
            <w:pPr>
              <w:rPr>
                <w:b/>
                <w:color w:val="000000"/>
                <w:sz w:val="22"/>
                <w:szCs w:val="22"/>
                <w:lang w:val="es-419"/>
              </w:rPr>
            </w:pPr>
            <w:r w:rsidRPr="00A24FDB">
              <w:rPr>
                <w:b/>
                <w:color w:val="000000"/>
                <w:sz w:val="22"/>
                <w:szCs w:val="22"/>
                <w:lang w:val="es-419"/>
              </w:rPr>
              <w:t>4. Monitor</w:t>
            </w:r>
            <w:r w:rsidR="008D4048">
              <w:rPr>
                <w:b/>
                <w:color w:val="000000"/>
                <w:sz w:val="22"/>
                <w:szCs w:val="22"/>
                <w:lang w:val="es-419"/>
              </w:rPr>
              <w:t>eo, Evaluación y Presentación de Informes</w:t>
            </w:r>
          </w:p>
        </w:tc>
        <w:tc>
          <w:tcPr>
            <w:tcW w:w="2835" w:type="dxa"/>
            <w:gridSpan w:val="2"/>
            <w:tcMar/>
          </w:tcPr>
          <w:p w:rsidRPr="00A24FDB" w:rsidR="007B61D0" w:rsidRDefault="000C6B6A" w14:paraId="788F123E" w14:textId="5E340721">
            <w:pPr>
              <w:rPr>
                <w:color w:val="000000"/>
                <w:sz w:val="22"/>
                <w:szCs w:val="22"/>
                <w:lang w:val="es-419"/>
              </w:rPr>
            </w:pPr>
            <w:r w:rsidRPr="00A24FDB">
              <w:rPr>
                <w:color w:val="000000"/>
                <w:sz w:val="22"/>
                <w:szCs w:val="22"/>
                <w:lang w:val="es-419"/>
              </w:rPr>
              <w:t xml:space="preserve">4.0 </w:t>
            </w:r>
            <w:r w:rsidRPr="00F959F3" w:rsidR="00F959F3">
              <w:rPr>
                <w:color w:val="000000"/>
                <w:sz w:val="22"/>
                <w:szCs w:val="22"/>
                <w:lang w:val="es-419"/>
              </w:rPr>
              <w:t>Consideraciones básicas de PGI en la guía de monitoreo y evaluación, incluyendo</w:t>
            </w:r>
          </w:p>
        </w:tc>
        <w:tc>
          <w:tcPr>
            <w:tcW w:w="3121" w:type="dxa"/>
            <w:tcMar/>
          </w:tcPr>
          <w:p w:rsidRPr="00A24FDB" w:rsidR="007B61D0" w:rsidRDefault="00F959F3" w14:paraId="23BBD434" w14:textId="1BD0A3DC">
            <w:pPr>
              <w:rPr>
                <w:color w:val="000000"/>
                <w:sz w:val="22"/>
                <w:szCs w:val="22"/>
                <w:lang w:val="es-419"/>
              </w:rPr>
            </w:pPr>
            <w:r w:rsidRPr="00F959F3">
              <w:rPr>
                <w:color w:val="000000"/>
                <w:sz w:val="22"/>
                <w:szCs w:val="22"/>
                <w:lang w:val="es-419"/>
              </w:rPr>
              <w:t>Pertinente para todas las fases de la respuesta, la cual requiere adaptación para la recuperación</w:t>
            </w:r>
            <w:r w:rsidRPr="00A24FDB" w:rsidR="000C6B6A">
              <w:rPr>
                <w:color w:val="000000"/>
                <w:sz w:val="22"/>
                <w:szCs w:val="22"/>
                <w:lang w:val="es-419"/>
              </w:rPr>
              <w:t>.</w:t>
            </w:r>
          </w:p>
        </w:tc>
        <w:tc>
          <w:tcPr>
            <w:tcW w:w="1612" w:type="dxa"/>
            <w:tcMar/>
          </w:tcPr>
          <w:p w:rsidRPr="00A24FDB" w:rsidR="007B61D0" w:rsidRDefault="00421E6F" w14:paraId="77C89625" w14:textId="45F0EF46">
            <w:pPr>
              <w:rPr>
                <w:color w:val="000000"/>
                <w:sz w:val="22"/>
                <w:szCs w:val="22"/>
                <w:lang w:val="es-419"/>
              </w:rPr>
            </w:pPr>
            <w:r>
              <w:rPr>
                <w:color w:val="000000"/>
                <w:sz w:val="22"/>
                <w:szCs w:val="22"/>
                <w:lang w:val="es-419"/>
              </w:rPr>
              <w:t>Novato</w:t>
            </w:r>
          </w:p>
        </w:tc>
      </w:tr>
      <w:tr w:rsidRPr="00A24FDB" w:rsidR="007B61D0" w:rsidTr="5574D9F5" w14:paraId="65D1FAF0" w14:textId="77777777">
        <w:trPr>
          <w:trHeight w:val="460"/>
        </w:trPr>
        <w:tc>
          <w:tcPr>
            <w:tcW w:w="1697" w:type="dxa"/>
            <w:vMerge/>
            <w:tcMar/>
            <w:vAlign w:val="center"/>
          </w:tcPr>
          <w:p w:rsidRPr="00A24FDB" w:rsidR="007B61D0" w:rsidRDefault="007B61D0" w14:paraId="3D4181F7" w14:textId="77777777">
            <w:pPr>
              <w:widowControl w:val="0"/>
              <w:pBdr>
                <w:top w:val="nil"/>
                <w:left w:val="nil"/>
                <w:bottom w:val="nil"/>
                <w:right w:val="nil"/>
                <w:between w:val="nil"/>
              </w:pBdr>
              <w:spacing w:line="276" w:lineRule="auto"/>
              <w:rPr>
                <w:color w:val="000000"/>
                <w:sz w:val="22"/>
                <w:szCs w:val="22"/>
                <w:lang w:val="es-419"/>
              </w:rPr>
            </w:pPr>
          </w:p>
        </w:tc>
        <w:tc>
          <w:tcPr>
            <w:tcW w:w="2835" w:type="dxa"/>
            <w:gridSpan w:val="2"/>
            <w:tcMar/>
          </w:tcPr>
          <w:p w:rsidRPr="00A24FDB" w:rsidR="007B61D0" w:rsidRDefault="000C6B6A" w14:paraId="1523ACB6" w14:textId="63BF0041">
            <w:pPr>
              <w:rPr>
                <w:i/>
                <w:color w:val="000000"/>
                <w:sz w:val="22"/>
                <w:szCs w:val="22"/>
                <w:lang w:val="es-419"/>
              </w:rPr>
            </w:pPr>
            <w:r w:rsidRPr="00A24FDB">
              <w:rPr>
                <w:color w:val="000000"/>
                <w:sz w:val="22"/>
                <w:szCs w:val="22"/>
                <w:lang w:val="es-419"/>
              </w:rPr>
              <w:t xml:space="preserve">4.1 </w:t>
            </w:r>
            <w:r w:rsidRPr="00F959F3" w:rsidR="00F959F3">
              <w:rPr>
                <w:color w:val="000000"/>
                <w:sz w:val="22"/>
                <w:szCs w:val="22"/>
                <w:lang w:val="es-419"/>
              </w:rPr>
              <w:t>Base de datos de indicadores de PGI</w:t>
            </w:r>
          </w:p>
        </w:tc>
        <w:tc>
          <w:tcPr>
            <w:tcW w:w="3121" w:type="dxa"/>
            <w:tcMar/>
          </w:tcPr>
          <w:p w:rsidRPr="00A24FDB" w:rsidR="007B61D0" w:rsidP="00F959F3" w:rsidRDefault="00F959F3" w14:paraId="14A57CA4" w14:textId="290686F7">
            <w:pPr>
              <w:rPr>
                <w:color w:val="000000"/>
                <w:sz w:val="22"/>
                <w:szCs w:val="22"/>
                <w:lang w:val="es-419"/>
              </w:rPr>
            </w:pPr>
            <w:r w:rsidRPr="00F959F3">
              <w:rPr>
                <w:color w:val="000000"/>
                <w:sz w:val="22"/>
                <w:szCs w:val="22"/>
                <w:lang w:val="es-419"/>
              </w:rPr>
              <w:t xml:space="preserve">Una herramienta genérica que </w:t>
            </w:r>
            <w:r w:rsidR="00543DBF">
              <w:rPr>
                <w:color w:val="000000"/>
                <w:sz w:val="22"/>
                <w:szCs w:val="22"/>
                <w:lang w:val="es-419"/>
              </w:rPr>
              <w:t>debe</w:t>
            </w:r>
            <w:r w:rsidRPr="00F959F3">
              <w:rPr>
                <w:color w:val="000000"/>
                <w:sz w:val="22"/>
                <w:szCs w:val="22"/>
                <w:lang w:val="es-419"/>
              </w:rPr>
              <w:t xml:space="preserve"> adaptarse al contexto</w:t>
            </w:r>
            <w:r w:rsidRPr="00A24FDB" w:rsidR="000C6B6A">
              <w:rPr>
                <w:color w:val="000000"/>
                <w:sz w:val="22"/>
                <w:szCs w:val="22"/>
                <w:lang w:val="es-419"/>
              </w:rPr>
              <w:t>.</w:t>
            </w:r>
          </w:p>
        </w:tc>
        <w:tc>
          <w:tcPr>
            <w:tcW w:w="1612" w:type="dxa"/>
            <w:tcMar/>
          </w:tcPr>
          <w:p w:rsidRPr="00A24FDB" w:rsidR="007B61D0" w:rsidRDefault="00421E6F" w14:paraId="2BAB4DBC" w14:textId="0664FBDF">
            <w:pPr>
              <w:rPr>
                <w:color w:val="000000"/>
                <w:sz w:val="22"/>
                <w:szCs w:val="22"/>
                <w:lang w:val="es-419"/>
              </w:rPr>
            </w:pPr>
            <w:r>
              <w:rPr>
                <w:color w:val="000000"/>
                <w:sz w:val="22"/>
                <w:szCs w:val="22"/>
                <w:lang w:val="es-419"/>
              </w:rPr>
              <w:t>Novato</w:t>
            </w:r>
          </w:p>
        </w:tc>
      </w:tr>
      <w:tr w:rsidRPr="00A24FDB" w:rsidR="007B61D0" w:rsidTr="5574D9F5" w14:paraId="4E8E39A5" w14:textId="77777777">
        <w:trPr>
          <w:trHeight w:val="700"/>
        </w:trPr>
        <w:tc>
          <w:tcPr>
            <w:tcW w:w="1697" w:type="dxa"/>
            <w:vMerge/>
            <w:tcMar/>
            <w:vAlign w:val="center"/>
          </w:tcPr>
          <w:p w:rsidRPr="00A24FDB" w:rsidR="007B61D0" w:rsidRDefault="007B61D0" w14:paraId="4394BAA1" w14:textId="77777777">
            <w:pPr>
              <w:widowControl w:val="0"/>
              <w:pBdr>
                <w:top w:val="nil"/>
                <w:left w:val="nil"/>
                <w:bottom w:val="nil"/>
                <w:right w:val="nil"/>
                <w:between w:val="nil"/>
              </w:pBdr>
              <w:spacing w:line="276" w:lineRule="auto"/>
              <w:rPr>
                <w:color w:val="000000"/>
                <w:sz w:val="22"/>
                <w:szCs w:val="22"/>
                <w:lang w:val="es-419"/>
              </w:rPr>
            </w:pPr>
          </w:p>
        </w:tc>
        <w:tc>
          <w:tcPr>
            <w:tcW w:w="2835" w:type="dxa"/>
            <w:gridSpan w:val="2"/>
            <w:tcMar/>
          </w:tcPr>
          <w:p w:rsidRPr="00A24FDB" w:rsidR="007B61D0" w:rsidRDefault="000C6B6A" w14:paraId="3BC88C7A" w14:textId="08D690C7">
            <w:pPr>
              <w:rPr>
                <w:color w:val="000000"/>
                <w:sz w:val="22"/>
                <w:szCs w:val="22"/>
                <w:lang w:val="es-419"/>
              </w:rPr>
            </w:pPr>
            <w:r w:rsidRPr="00A24FDB">
              <w:rPr>
                <w:color w:val="000000"/>
                <w:sz w:val="22"/>
                <w:szCs w:val="22"/>
                <w:lang w:val="es-419"/>
              </w:rPr>
              <w:t xml:space="preserve">4.2 </w:t>
            </w:r>
            <w:r w:rsidR="008D5F41">
              <w:rPr>
                <w:color w:val="000000"/>
                <w:sz w:val="22"/>
                <w:szCs w:val="22"/>
                <w:lang w:val="es-419"/>
              </w:rPr>
              <w:t xml:space="preserve">Tarjeta de puntuación de </w:t>
            </w:r>
            <w:r w:rsidRPr="008D5F41" w:rsidR="008D5F41">
              <w:rPr>
                <w:color w:val="000000"/>
                <w:sz w:val="22"/>
                <w:szCs w:val="22"/>
                <w:lang w:val="es-419"/>
              </w:rPr>
              <w:t xml:space="preserve">Normas Mínimas de PGI </w:t>
            </w:r>
            <w:r w:rsidR="008D5F41">
              <w:rPr>
                <w:color w:val="000000"/>
                <w:sz w:val="22"/>
                <w:szCs w:val="22"/>
                <w:lang w:val="es-419"/>
              </w:rPr>
              <w:t xml:space="preserve">del </w:t>
            </w:r>
            <w:r w:rsidRPr="00F959F3" w:rsidR="00F959F3">
              <w:rPr>
                <w:color w:val="000000"/>
                <w:sz w:val="22"/>
                <w:szCs w:val="22"/>
                <w:lang w:val="es-419"/>
              </w:rPr>
              <w:t>sector</w:t>
            </w:r>
          </w:p>
        </w:tc>
        <w:tc>
          <w:tcPr>
            <w:tcW w:w="3121" w:type="dxa"/>
            <w:tcMar/>
            <w:vAlign w:val="center"/>
          </w:tcPr>
          <w:p w:rsidRPr="00A24FDB" w:rsidR="007B61D0" w:rsidRDefault="00F959F3" w14:paraId="17C203EE" w14:textId="22068AFA">
            <w:pPr>
              <w:rPr>
                <w:color w:val="000000"/>
                <w:sz w:val="22"/>
                <w:szCs w:val="22"/>
                <w:lang w:val="es-419"/>
              </w:rPr>
            </w:pPr>
            <w:r w:rsidRPr="00F959F3">
              <w:rPr>
                <w:color w:val="000000"/>
                <w:sz w:val="22"/>
                <w:szCs w:val="22"/>
                <w:lang w:val="es-419"/>
              </w:rPr>
              <w:t>Aplica en términos generales a ambas fases; incluiría algunos indicadores más complejos para la fase de recuperación que necesitan procesos de monitoreo que requieren muchos recursos</w:t>
            </w:r>
            <w:r w:rsidRPr="00A24FDB" w:rsidR="000C6B6A">
              <w:rPr>
                <w:color w:val="000000"/>
                <w:sz w:val="22"/>
                <w:szCs w:val="22"/>
                <w:lang w:val="es-419"/>
              </w:rPr>
              <w:t>.</w:t>
            </w:r>
          </w:p>
        </w:tc>
        <w:tc>
          <w:tcPr>
            <w:tcW w:w="1612" w:type="dxa"/>
            <w:tcMar/>
          </w:tcPr>
          <w:p w:rsidRPr="00A24FDB" w:rsidR="007B61D0" w:rsidRDefault="00421E6F" w14:paraId="091D929D" w14:textId="28D2FE45">
            <w:pPr>
              <w:rPr>
                <w:color w:val="000000"/>
                <w:sz w:val="22"/>
                <w:szCs w:val="22"/>
                <w:lang w:val="es-419"/>
              </w:rPr>
            </w:pPr>
            <w:r>
              <w:rPr>
                <w:color w:val="000000"/>
                <w:sz w:val="22"/>
                <w:szCs w:val="22"/>
                <w:lang w:val="es-419"/>
              </w:rPr>
              <w:t>Novato</w:t>
            </w:r>
          </w:p>
        </w:tc>
      </w:tr>
      <w:tr w:rsidRPr="005F1E52" w:rsidR="007B61D0" w:rsidTr="5574D9F5" w14:paraId="6B5F474D" w14:textId="77777777">
        <w:trPr>
          <w:trHeight w:val="700"/>
        </w:trPr>
        <w:tc>
          <w:tcPr>
            <w:tcW w:w="1697" w:type="dxa"/>
            <w:vMerge/>
            <w:tcMar/>
            <w:vAlign w:val="center"/>
          </w:tcPr>
          <w:p w:rsidRPr="00A24FDB" w:rsidR="007B61D0" w:rsidRDefault="007B61D0" w14:paraId="41465A04" w14:textId="77777777">
            <w:pPr>
              <w:widowControl w:val="0"/>
              <w:pBdr>
                <w:top w:val="nil"/>
                <w:left w:val="nil"/>
                <w:bottom w:val="nil"/>
                <w:right w:val="nil"/>
                <w:between w:val="nil"/>
              </w:pBdr>
              <w:spacing w:line="276" w:lineRule="auto"/>
              <w:rPr>
                <w:color w:val="000000"/>
                <w:sz w:val="22"/>
                <w:szCs w:val="22"/>
                <w:lang w:val="es-419"/>
              </w:rPr>
            </w:pPr>
          </w:p>
        </w:tc>
        <w:tc>
          <w:tcPr>
            <w:tcW w:w="2835" w:type="dxa"/>
            <w:gridSpan w:val="2"/>
            <w:tcMar/>
          </w:tcPr>
          <w:p w:rsidRPr="00A24FDB" w:rsidR="007B61D0" w:rsidRDefault="00F41A6D" w14:paraId="42F81495" w14:textId="74D15990">
            <w:pPr>
              <w:rPr>
                <w:color w:val="000000"/>
                <w:sz w:val="22"/>
                <w:szCs w:val="22"/>
                <w:lang w:val="es-419"/>
              </w:rPr>
            </w:pPr>
            <w:r w:rsidRPr="00F41A6D">
              <w:rPr>
                <w:color w:val="000000"/>
                <w:sz w:val="22"/>
                <w:szCs w:val="22"/>
                <w:lang w:val="es-ES"/>
              </w:rPr>
              <w:t>Ejemplos disponibles como archivos adjuntos</w:t>
            </w:r>
            <w:r w:rsidRPr="00A24FDB" w:rsidR="000C6B6A">
              <w:rPr>
                <w:color w:val="000000"/>
                <w:sz w:val="22"/>
                <w:szCs w:val="22"/>
                <w:lang w:val="es-419"/>
              </w:rPr>
              <w:t>:</w:t>
            </w:r>
          </w:p>
          <w:p w:rsidRPr="00F41A6D" w:rsidR="00F41A6D" w:rsidP="00F41A6D" w:rsidRDefault="00F41A6D" w14:paraId="49967BBE" w14:textId="77777777">
            <w:pPr>
              <w:numPr>
                <w:ilvl w:val="0"/>
                <w:numId w:val="5"/>
              </w:numPr>
              <w:pBdr>
                <w:top w:val="nil"/>
                <w:left w:val="nil"/>
                <w:bottom w:val="nil"/>
                <w:right w:val="nil"/>
                <w:between w:val="nil"/>
              </w:pBdr>
              <w:rPr>
                <w:color w:val="000000"/>
                <w:sz w:val="22"/>
                <w:szCs w:val="22"/>
                <w:lang w:val="es-419"/>
              </w:rPr>
            </w:pPr>
            <w:r w:rsidRPr="00F41A6D">
              <w:rPr>
                <w:color w:val="000000"/>
                <w:sz w:val="22"/>
                <w:szCs w:val="22"/>
                <w:lang w:val="es-419"/>
              </w:rPr>
              <w:t>Muestra de PGI en ERU en Mozambique 2019</w:t>
            </w:r>
          </w:p>
          <w:p w:rsidRPr="00A24FDB" w:rsidR="007B61D0" w:rsidP="00F41A6D" w:rsidRDefault="00F41A6D" w14:paraId="58D0F624" w14:textId="2D160C0E">
            <w:pPr>
              <w:numPr>
                <w:ilvl w:val="0"/>
                <w:numId w:val="5"/>
              </w:numPr>
              <w:pBdr>
                <w:top w:val="nil"/>
                <w:left w:val="nil"/>
                <w:bottom w:val="nil"/>
                <w:right w:val="nil"/>
                <w:between w:val="nil"/>
              </w:pBdr>
              <w:rPr>
                <w:color w:val="000000"/>
                <w:sz w:val="22"/>
                <w:szCs w:val="22"/>
                <w:lang w:val="es-419"/>
              </w:rPr>
            </w:pPr>
            <w:r w:rsidRPr="00F41A6D">
              <w:rPr>
                <w:color w:val="000000"/>
                <w:sz w:val="22"/>
                <w:szCs w:val="22"/>
                <w:lang w:val="es-419"/>
              </w:rPr>
              <w:t>Muestra de Evaluación en Tiempo Real en Lombok</w:t>
            </w:r>
          </w:p>
        </w:tc>
        <w:tc>
          <w:tcPr>
            <w:tcW w:w="3121" w:type="dxa"/>
            <w:tcMar/>
            <w:vAlign w:val="center"/>
          </w:tcPr>
          <w:p w:rsidRPr="00A24FDB" w:rsidR="007B61D0" w:rsidRDefault="00F41A6D" w14:paraId="637FB0D9" w14:textId="74DD6DCD">
            <w:pPr>
              <w:rPr>
                <w:color w:val="000000"/>
                <w:sz w:val="22"/>
                <w:szCs w:val="22"/>
                <w:lang w:val="es-419"/>
              </w:rPr>
            </w:pPr>
            <w:r>
              <w:rPr>
                <w:color w:val="000000"/>
                <w:sz w:val="22"/>
                <w:szCs w:val="22"/>
                <w:lang w:val="es-419"/>
              </w:rPr>
              <w:t>Estos ejemplos son pertinentes para las operaciones de respuesta</w:t>
            </w:r>
          </w:p>
        </w:tc>
        <w:tc>
          <w:tcPr>
            <w:tcW w:w="1612" w:type="dxa"/>
            <w:tcMar/>
          </w:tcPr>
          <w:p w:rsidRPr="00A24FDB" w:rsidR="007B61D0" w:rsidRDefault="007B61D0" w14:paraId="34B052A5" w14:textId="77777777">
            <w:pPr>
              <w:rPr>
                <w:color w:val="000000"/>
                <w:sz w:val="22"/>
                <w:szCs w:val="22"/>
                <w:lang w:val="es-419"/>
              </w:rPr>
            </w:pPr>
          </w:p>
        </w:tc>
      </w:tr>
    </w:tbl>
    <w:p w:rsidRPr="00A24FDB" w:rsidR="007B61D0" w:rsidRDefault="007B61D0" w14:paraId="413F3A20" w14:textId="77777777">
      <w:pPr>
        <w:rPr>
          <w:lang w:val="es-419"/>
        </w:rPr>
      </w:pPr>
    </w:p>
    <w:p w:rsidRPr="00A24FDB" w:rsidR="007B61D0" w:rsidRDefault="007B61D0" w14:paraId="3EBE136B" w14:textId="77777777">
      <w:pPr>
        <w:rPr>
          <w:lang w:val="es-419"/>
        </w:rPr>
      </w:pPr>
    </w:p>
    <w:p w:rsidRPr="00A24FDB" w:rsidR="007B61D0" w:rsidRDefault="00F41A6D" w14:paraId="1CFBC810" w14:textId="054D7D9E">
      <w:pPr>
        <w:rPr>
          <w:b/>
          <w:lang w:val="es-419"/>
        </w:rPr>
      </w:pPr>
      <w:r w:rsidRPr="00F41A6D">
        <w:rPr>
          <w:b/>
          <w:lang w:val="es-419"/>
        </w:rPr>
        <w:t xml:space="preserve">Cronograma orientador para la implementación del kit de </w:t>
      </w:r>
      <w:r w:rsidRPr="00F41A6D" w:rsidR="00524FC5">
        <w:rPr>
          <w:b/>
          <w:lang w:val="es-419"/>
        </w:rPr>
        <w:t>herramientas</w:t>
      </w:r>
      <w:r w:rsidR="00524FC5">
        <w:rPr>
          <w:b/>
          <w:lang w:val="es-419"/>
        </w:rPr>
        <w:t xml:space="preserve"> </w:t>
      </w:r>
    </w:p>
    <w:p w:rsidR="00852294" w:rsidRDefault="00852294" w14:paraId="1A285024" w14:textId="77777777">
      <w:pPr>
        <w:rPr>
          <w:noProof/>
          <w:lang w:val="es-419"/>
        </w:rPr>
      </w:pPr>
    </w:p>
    <w:p w:rsidRPr="00A24FDB" w:rsidR="007B61D0" w:rsidRDefault="00D61BC7" w14:paraId="0236DFA3" w14:textId="5FA95310">
      <w:pPr>
        <w:rPr>
          <w:lang w:val="es-419"/>
        </w:rPr>
      </w:pPr>
      <w:r w:rsidR="00D61BC7">
        <w:drawing>
          <wp:inline wp14:editId="6A665C68" wp14:anchorId="2017D67A">
            <wp:extent cx="5949950" cy="2060575"/>
            <wp:effectExtent l="0" t="0" r="0" b="0"/>
            <wp:docPr id="3" name="Picture 3" title=""/>
            <wp:cNvGraphicFramePr>
              <a:graphicFrameLocks noChangeAspect="1"/>
            </wp:cNvGraphicFramePr>
            <a:graphic>
              <a:graphicData uri="http://schemas.openxmlformats.org/drawingml/2006/picture">
                <pic:pic>
                  <pic:nvPicPr>
                    <pic:cNvPr id="0" name="Picture 3"/>
                    <pic:cNvPicPr/>
                  </pic:nvPicPr>
                  <pic:blipFill>
                    <a:blip r:embed="R4a5eb374b4dc45c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9950" cy="2060575"/>
                    </a:xfrm>
                    <a:prstGeom prst="rect">
                      <a:avLst/>
                    </a:prstGeom>
                  </pic:spPr>
                </pic:pic>
              </a:graphicData>
            </a:graphic>
          </wp:inline>
        </w:drawing>
      </w:r>
    </w:p>
    <w:sectPr w:rsidRPr="00A24FDB" w:rsidR="007B61D0">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7CB1" w:rsidRDefault="00737CB1" w14:paraId="42CAD3B4" w14:textId="77777777">
      <w:pPr>
        <w:spacing w:after="0" w:line="240" w:lineRule="auto"/>
      </w:pPr>
      <w:r>
        <w:separator/>
      </w:r>
    </w:p>
  </w:endnote>
  <w:endnote w:type="continuationSeparator" w:id="0">
    <w:p w:rsidR="00737CB1" w:rsidRDefault="00737CB1" w14:paraId="7E8CB3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5D251B" w:rsidRDefault="005D251B" w14:paraId="26C819F0" w14:textId="1091B3B2">
    <w:pPr>
      <w:pStyle w:val="Piedepgina"/>
    </w:pPr>
    <w:r>
      <w:rPr>
        <w:noProof/>
      </w:rPr>
      <mc:AlternateContent>
        <mc:Choice Requires="wps">
          <w:drawing>
            <wp:anchor distT="0" distB="0" distL="0" distR="0" simplePos="0" relativeHeight="251659264" behindDoc="0" locked="0" layoutInCell="1" allowOverlap="1" wp14:anchorId="40A7663E" wp14:editId="70082858">
              <wp:simplePos x="635" y="635"/>
              <wp:positionH relativeFrom="leftMargin">
                <wp:align>left</wp:align>
              </wp:positionH>
              <wp:positionV relativeFrom="paragraph">
                <wp:posOffset>635</wp:posOffset>
              </wp:positionV>
              <wp:extent cx="443865" cy="443865"/>
              <wp:effectExtent l="0" t="0" r="6350" b="17145"/>
              <wp:wrapSquare wrapText="bothSides"/>
              <wp:docPr id="2" name="Cuadro de texto 2"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D251B" w:rsidR="005D251B" w:rsidRDefault="005D251B" w14:paraId="6D1E9CF1" w14:textId="4A77C688">
                          <w:pPr>
                            <w:rPr>
                              <w:color w:val="000000"/>
                              <w:sz w:val="20"/>
                              <w:szCs w:val="20"/>
                            </w:rPr>
                          </w:pPr>
                          <w:r w:rsidRPr="005D251B">
                            <w:rPr>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0A7663E">
              <v:stroke joinstyle="miter"/>
              <v:path gradientshapeok="t" o:connecttype="rect"/>
            </v:shapetype>
            <v:shape id="Cuadro de texto 2"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Ao1koWLAIAAFYEAAAOAAAAAAAAAAAAAAAAAC4CAABkcnMvZTJv&#10;RG9jLnhtbFBLAQItABQABgAIAAAAIQA0gToW2gAAAAMBAAAPAAAAAAAAAAAAAAAAAIYEAABkcnMv&#10;ZG93bnJldi54bWxQSwUGAAAAAAQABADzAAAAjQUAAAAA&#10;">
              <v:fill o:detectmouseclick="t"/>
              <v:textbox style="mso-fit-shape-to-text:t" inset="5pt,0,0,0">
                <w:txbxContent>
                  <w:p w:rsidRPr="005D251B" w:rsidR="005D251B" w:rsidRDefault="005D251B" w14:paraId="6D1E9CF1" w14:textId="4A77C688">
                    <w:pPr>
                      <w:rPr>
                        <w:color w:val="000000"/>
                        <w:sz w:val="20"/>
                        <w:szCs w:val="20"/>
                      </w:rPr>
                    </w:pPr>
                    <w:r w:rsidRPr="005D251B">
                      <w:rPr>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5D251B" w:rsidRDefault="005D251B" w14:paraId="0C77EDB7" w14:textId="28647BCD">
    <w:pPr>
      <w:pStyle w:val="Piedepgina"/>
    </w:pPr>
    <w:r>
      <w:rPr>
        <w:noProof/>
      </w:rPr>
      <mc:AlternateContent>
        <mc:Choice Requires="wps">
          <w:drawing>
            <wp:anchor distT="0" distB="0" distL="0" distR="0" simplePos="0" relativeHeight="251660288" behindDoc="0" locked="0" layoutInCell="1" allowOverlap="1" wp14:anchorId="31EE3F24" wp14:editId="0FAF97C9">
              <wp:simplePos x="635" y="635"/>
              <wp:positionH relativeFrom="leftMargin">
                <wp:align>left</wp:align>
              </wp:positionH>
              <wp:positionV relativeFrom="paragraph">
                <wp:posOffset>635</wp:posOffset>
              </wp:positionV>
              <wp:extent cx="443865" cy="443865"/>
              <wp:effectExtent l="0" t="0" r="6350" b="17145"/>
              <wp:wrapSquare wrapText="bothSides"/>
              <wp:docPr id="4" name="Cuadro de texto 4"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D251B" w:rsidR="005D251B" w:rsidRDefault="005D251B" w14:paraId="2825EC49" w14:textId="51E66B4F">
                          <w:pPr>
                            <w:rPr>
                              <w:color w:val="000000"/>
                              <w:sz w:val="20"/>
                              <w:szCs w:val="20"/>
                            </w:rPr>
                          </w:pPr>
                          <w:r w:rsidRPr="005D251B">
                            <w:rPr>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1EE3F24">
              <v:stroke joinstyle="miter"/>
              <v:path gradientshapeok="t" o:connecttype="rect"/>
            </v:shapetype>
            <v:shape id="Cuadro de texto 4"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">
              <v:fill o:detectmouseclick="t"/>
              <v:textbox style="mso-fit-shape-to-text:t" inset="5pt,0,0,0">
                <w:txbxContent>
                  <w:p w:rsidRPr="005D251B" w:rsidR="005D251B" w:rsidRDefault="005D251B" w14:paraId="2825EC49" w14:textId="51E66B4F">
                    <w:pPr>
                      <w:rPr>
                        <w:color w:val="000000"/>
                        <w:sz w:val="20"/>
                        <w:szCs w:val="20"/>
                      </w:rPr>
                    </w:pPr>
                    <w:r w:rsidRPr="005D251B">
                      <w:rPr>
                        <w:color w:val="000000"/>
                        <w:sz w:val="20"/>
                        <w:szCs w:val="20"/>
                      </w:rPr>
                      <w:t>Public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5D251B" w:rsidRDefault="005D251B" w14:paraId="58383C96" w14:textId="2EBBB090">
    <w:pPr>
      <w:pStyle w:val="Piedepgina"/>
    </w:pPr>
    <w:r>
      <w:rPr>
        <w:noProof/>
      </w:rPr>
      <mc:AlternateContent>
        <mc:Choice Requires="wps">
          <w:drawing>
            <wp:anchor distT="0" distB="0" distL="0" distR="0" simplePos="0" relativeHeight="251658240" behindDoc="0" locked="0" layoutInCell="1" allowOverlap="1" wp14:anchorId="71713D55" wp14:editId="2B0609D5">
              <wp:simplePos x="635" y="635"/>
              <wp:positionH relativeFrom="leftMargin">
                <wp:align>left</wp:align>
              </wp:positionH>
              <wp:positionV relativeFrom="paragraph">
                <wp:posOffset>635</wp:posOffset>
              </wp:positionV>
              <wp:extent cx="443865" cy="443865"/>
              <wp:effectExtent l="0" t="0" r="6350" b="17145"/>
              <wp:wrapSquare wrapText="bothSides"/>
              <wp:docPr id="1" name="Cuadro de texto 1"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5D251B" w:rsidR="005D251B" w:rsidRDefault="005D251B" w14:paraId="6886518C" w14:textId="03F36212">
                          <w:pPr>
                            <w:rPr>
                              <w:color w:val="000000"/>
                              <w:sz w:val="20"/>
                              <w:szCs w:val="20"/>
                            </w:rPr>
                          </w:pPr>
                          <w:r w:rsidRPr="005D251B">
                            <w:rPr>
                              <w:color w:val="000000"/>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1713D55">
              <v:stroke joinstyle="miter"/>
              <v:path gradientshapeok="t" o:connecttype="rect"/>
            </v:shapetype>
            <v:shape id="Cuadro de texto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Public"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DuE2GMoAgAATwQAAA4AAAAAAAAAAAAAAAAALgIAAGRycy9lMm9Eb2Mu&#10;eG1sUEsBAi0AFAAGAAgAAAAhADSBOhbaAAAAAwEAAA8AAAAAAAAAAAAAAAAAggQAAGRycy9kb3du&#10;cmV2LnhtbFBLBQYAAAAABAAEAPMAAACJBQAAAAA=&#10;">
              <v:fill o:detectmouseclick="t"/>
              <v:textbox style="mso-fit-shape-to-text:t" inset="5pt,0,0,0">
                <w:txbxContent>
                  <w:p w:rsidRPr="005D251B" w:rsidR="005D251B" w:rsidRDefault="005D251B" w14:paraId="6886518C" w14:textId="03F36212">
                    <w:pPr>
                      <w:rPr>
                        <w:color w:val="000000"/>
                        <w:sz w:val="20"/>
                        <w:szCs w:val="20"/>
                      </w:rPr>
                    </w:pPr>
                    <w:r w:rsidRPr="005D251B">
                      <w:rPr>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7CB1" w:rsidRDefault="00737CB1" w14:paraId="6B355AD4" w14:textId="77777777">
      <w:pPr>
        <w:spacing w:after="0" w:line="240" w:lineRule="auto"/>
      </w:pPr>
      <w:r>
        <w:separator/>
      </w:r>
    </w:p>
  </w:footnote>
  <w:footnote w:type="continuationSeparator" w:id="0">
    <w:p w:rsidR="00737CB1" w:rsidRDefault="00737CB1" w14:paraId="520F9D94" w14:textId="77777777">
      <w:pPr>
        <w:spacing w:after="0" w:line="240" w:lineRule="auto"/>
      </w:pPr>
      <w:r>
        <w:continuationSeparator/>
      </w:r>
    </w:p>
  </w:footnote>
  <w:footnote w:id="1">
    <w:p w:rsidRPr="005F1E52" w:rsidR="007B61D0" w:rsidRDefault="000C6B6A" w14:paraId="713367CA" w14:textId="68E514F3">
      <w:pPr>
        <w:pBdr>
          <w:top w:val="nil"/>
          <w:left w:val="nil"/>
          <w:bottom w:val="nil"/>
          <w:right w:val="nil"/>
          <w:between w:val="nil"/>
        </w:pBdr>
        <w:spacing w:after="0" w:line="240" w:lineRule="auto"/>
        <w:rPr>
          <w:color w:val="000000"/>
          <w:sz w:val="20"/>
          <w:szCs w:val="20"/>
          <w:lang w:val="es-PE"/>
        </w:rPr>
      </w:pPr>
      <w:r>
        <w:rPr>
          <w:rStyle w:val="Refdenotaalpie"/>
        </w:rPr>
        <w:footnoteRef/>
      </w:r>
      <w:r w:rsidRPr="005F1E52">
        <w:rPr>
          <w:color w:val="000000"/>
          <w:sz w:val="20"/>
          <w:szCs w:val="20"/>
          <w:lang w:val="es-PE"/>
        </w:rPr>
        <w:t xml:space="preserve"> </w:t>
      </w:r>
      <w:r w:rsidRPr="00E2772A" w:rsidR="00E2772A">
        <w:rPr>
          <w:color w:val="000000"/>
          <w:sz w:val="20"/>
          <w:szCs w:val="20"/>
          <w:lang w:val="es-419"/>
        </w:rPr>
        <w:t>Las Normas Mínimas sobre Protección, Género e Inclusión en Emergencias de la FICR establecen que cada sector debe basar su transversalización de la PGI en un análisis de "género y diversidad". Este kit de herramientas ha integrado ese análisis en las herramientas de Análisis Rápido</w:t>
      </w:r>
      <w:r w:rsidR="00DF444B">
        <w:rPr>
          <w:color w:val="000000"/>
          <w:sz w:val="20"/>
          <w:szCs w:val="20"/>
          <w:lang w:val="es-419"/>
        </w:rPr>
        <w:t xml:space="preserve"> de</w:t>
      </w:r>
      <w:r w:rsidRPr="00E2772A" w:rsidR="00E2772A">
        <w:rPr>
          <w:color w:val="000000"/>
          <w:sz w:val="20"/>
          <w:szCs w:val="20"/>
          <w:lang w:val="es-419"/>
        </w:rPr>
        <w:t xml:space="preserve"> PGI, que pueden encontrarse en el Capítulo 2. Esas herramientas ahora formarán la base para realizar dicho análisis, y se pueden adaptar según las necesidades y el contexto</w:t>
      </w:r>
      <w:r w:rsidRPr="005F1E52">
        <w:rPr>
          <w:color w:val="000000"/>
          <w:sz w:val="20"/>
          <w:szCs w:val="20"/>
          <w:lang w:val="es-PE"/>
        </w:rPr>
        <w:t>.</w:t>
      </w:r>
    </w:p>
  </w:footnote>
  <w:footnote w:id="2">
    <w:p w:rsidRPr="00A24FDB" w:rsidR="007B61D0" w:rsidRDefault="000C6B6A" w14:paraId="5C21B5D4" w14:textId="3F2F7960">
      <w:pPr>
        <w:pBdr>
          <w:top w:val="nil"/>
          <w:left w:val="nil"/>
          <w:bottom w:val="nil"/>
          <w:right w:val="nil"/>
          <w:between w:val="nil"/>
        </w:pBdr>
        <w:spacing w:after="0" w:line="240" w:lineRule="auto"/>
        <w:rPr>
          <w:color w:val="000000"/>
          <w:sz w:val="20"/>
          <w:szCs w:val="20"/>
          <w:lang w:val="es-419"/>
        </w:rPr>
      </w:pPr>
      <w:r w:rsidRPr="00A24FDB">
        <w:rPr>
          <w:rStyle w:val="Refdenotaalpie"/>
          <w:lang w:val="es-419"/>
        </w:rPr>
        <w:footnoteRef/>
      </w:r>
      <w:r w:rsidRPr="00A24FDB">
        <w:rPr>
          <w:color w:val="000000"/>
          <w:sz w:val="20"/>
          <w:szCs w:val="20"/>
          <w:lang w:val="es-419"/>
        </w:rPr>
        <w:t xml:space="preserve"> </w:t>
      </w:r>
      <w:r w:rsidR="00421E6F">
        <w:rPr>
          <w:b/>
          <w:color w:val="000000"/>
          <w:sz w:val="20"/>
          <w:szCs w:val="20"/>
          <w:lang w:val="es-419"/>
        </w:rPr>
        <w:t>Novato</w:t>
      </w:r>
      <w:r w:rsidRPr="00A24FDB">
        <w:rPr>
          <w:b/>
          <w:color w:val="000000"/>
          <w:sz w:val="20"/>
          <w:szCs w:val="20"/>
          <w:lang w:val="es-419"/>
        </w:rPr>
        <w:t>:</w:t>
      </w:r>
      <w:r w:rsidRPr="00A24FDB">
        <w:rPr>
          <w:color w:val="000000"/>
          <w:sz w:val="20"/>
          <w:szCs w:val="20"/>
          <w:lang w:val="es-419"/>
        </w:rPr>
        <w:t xml:space="preserve"> </w:t>
      </w:r>
      <w:r w:rsidRPr="00421E6F" w:rsidR="00421E6F">
        <w:rPr>
          <w:color w:val="000000"/>
          <w:sz w:val="20"/>
          <w:szCs w:val="20"/>
          <w:lang w:val="es-419"/>
        </w:rPr>
        <w:t>Usted no necesita experiencia o capacitación previa en PGI para usar estas herramientas. Usted NO ha oído hablar de las Normas Mínimas. Esta herramienta es útil para los voluntarios que no tienen experiencia trabajando en temas de PGI</w:t>
      </w:r>
      <w:r w:rsidRPr="00A24FDB">
        <w:rPr>
          <w:color w:val="000000"/>
          <w:sz w:val="20"/>
          <w:szCs w:val="20"/>
          <w:lang w:val="es-419"/>
        </w:rPr>
        <w:t>.</w:t>
      </w:r>
    </w:p>
  </w:footnote>
  <w:footnote w:id="3">
    <w:p w:rsidRPr="00A24FDB" w:rsidR="007B61D0" w:rsidRDefault="000C6B6A" w14:paraId="14497330" w14:textId="5D68AB2F">
      <w:pPr>
        <w:pBdr>
          <w:top w:val="nil"/>
          <w:left w:val="nil"/>
          <w:bottom w:val="nil"/>
          <w:right w:val="nil"/>
          <w:between w:val="nil"/>
        </w:pBdr>
        <w:spacing w:after="0" w:line="240" w:lineRule="auto"/>
        <w:rPr>
          <w:color w:val="000000"/>
          <w:sz w:val="20"/>
          <w:szCs w:val="20"/>
          <w:lang w:val="es-419"/>
        </w:rPr>
      </w:pPr>
      <w:r w:rsidRPr="00A24FDB">
        <w:rPr>
          <w:rStyle w:val="Refdenotaalpie"/>
          <w:lang w:val="es-419"/>
        </w:rPr>
        <w:footnoteRef/>
      </w:r>
      <w:r w:rsidRPr="00A24FDB">
        <w:rPr>
          <w:color w:val="000000"/>
          <w:sz w:val="20"/>
          <w:szCs w:val="20"/>
          <w:lang w:val="es-419"/>
        </w:rPr>
        <w:t xml:space="preserve"> </w:t>
      </w:r>
      <w:r w:rsidR="00421E6F">
        <w:rPr>
          <w:b/>
          <w:color w:val="000000"/>
          <w:sz w:val="20"/>
          <w:szCs w:val="20"/>
          <w:lang w:val="es-419"/>
        </w:rPr>
        <w:t>Básico</w:t>
      </w:r>
      <w:r w:rsidRPr="00A24FDB">
        <w:rPr>
          <w:b/>
          <w:color w:val="000000"/>
          <w:sz w:val="20"/>
          <w:szCs w:val="20"/>
          <w:lang w:val="es-419"/>
        </w:rPr>
        <w:t>:</w:t>
      </w:r>
      <w:r w:rsidRPr="00A24FDB">
        <w:rPr>
          <w:color w:val="000000"/>
          <w:sz w:val="20"/>
          <w:szCs w:val="20"/>
          <w:lang w:val="es-419"/>
        </w:rPr>
        <w:t xml:space="preserve"> </w:t>
      </w:r>
      <w:r w:rsidRPr="00421E6F" w:rsidR="00421E6F">
        <w:rPr>
          <w:color w:val="000000"/>
          <w:sz w:val="20"/>
          <w:szCs w:val="20"/>
          <w:lang w:val="es-419"/>
        </w:rPr>
        <w:t xml:space="preserve">Usted ha completado la capacitación básica en PGI, específicamente </w:t>
      </w:r>
      <w:r w:rsidRPr="00421E6F" w:rsidR="00421E6F">
        <w:rPr>
          <w:i/>
          <w:iCs/>
          <w:color w:val="000000"/>
          <w:sz w:val="20"/>
          <w:szCs w:val="20"/>
          <w:lang w:val="es-419"/>
        </w:rPr>
        <w:t>7 Mov</w:t>
      </w:r>
      <w:r w:rsidR="001A25FA">
        <w:rPr>
          <w:i/>
          <w:iCs/>
          <w:color w:val="000000"/>
          <w:sz w:val="20"/>
          <w:szCs w:val="20"/>
          <w:lang w:val="es-419"/>
        </w:rPr>
        <w:t>imientos</w:t>
      </w:r>
      <w:r w:rsidRPr="00421E6F" w:rsidR="00421E6F">
        <w:rPr>
          <w:color w:val="000000"/>
          <w:sz w:val="20"/>
          <w:szCs w:val="20"/>
          <w:lang w:val="es-419"/>
        </w:rPr>
        <w:t xml:space="preserve"> o similar. Usted ha oído hablar de las Normas Mínimas y las ha utilizado en cierta medida. Usted entiende la abreviación DAPS y lo que significa. Usted también podría tener algo de experiencia implementando una transversalización básica de PGI en su propio trabajo</w:t>
      </w:r>
      <w:r w:rsidRPr="00A24FDB">
        <w:rPr>
          <w:color w:val="000000"/>
          <w:sz w:val="20"/>
          <w:szCs w:val="20"/>
          <w:lang w:val="es-419"/>
        </w:rPr>
        <w:t xml:space="preserve">. </w:t>
      </w:r>
      <w:r w:rsidRPr="00332655" w:rsidR="00332655">
        <w:rPr>
          <w:color w:val="000000"/>
          <w:sz w:val="20"/>
          <w:szCs w:val="20"/>
          <w:lang w:val="es-419"/>
        </w:rPr>
        <w:t>Por ejemplo, si está trabajando en salud, usted ha hecho un esfuerzo por transversalizar consideraciones de manejo de higiene menstrual</w:t>
      </w:r>
      <w:r w:rsidR="00543DBF">
        <w:rPr>
          <w:color w:val="000000"/>
          <w:sz w:val="20"/>
          <w:szCs w:val="20"/>
          <w:lang w:val="es-419"/>
        </w:rPr>
        <w:t>,</w:t>
      </w:r>
      <w:r w:rsidRPr="00332655" w:rsidR="00332655">
        <w:rPr>
          <w:color w:val="000000"/>
          <w:sz w:val="20"/>
          <w:szCs w:val="20"/>
          <w:lang w:val="es-419"/>
        </w:rPr>
        <w:t xml:space="preserve"> y posiblemente el enfoque centrado en el sobreviviente </w:t>
      </w:r>
      <w:r w:rsidR="00543DBF">
        <w:rPr>
          <w:color w:val="000000"/>
          <w:sz w:val="20"/>
          <w:szCs w:val="20"/>
          <w:lang w:val="es-419"/>
        </w:rPr>
        <w:t xml:space="preserve">de la </w:t>
      </w:r>
      <w:r w:rsidR="00C97FCA">
        <w:rPr>
          <w:color w:val="000000"/>
          <w:sz w:val="20"/>
          <w:szCs w:val="20"/>
          <w:lang w:val="es-419"/>
        </w:rPr>
        <w:t>VBG</w:t>
      </w:r>
      <w:r w:rsidRPr="00332655" w:rsidR="00332655">
        <w:rPr>
          <w:color w:val="000000"/>
          <w:sz w:val="20"/>
          <w:szCs w:val="20"/>
          <w:lang w:val="es-419"/>
        </w:rPr>
        <w:t xml:space="preserve">, en su trabajo. Para los voluntarios de primera línea - </w:t>
      </w:r>
      <w:r w:rsidR="00332655">
        <w:rPr>
          <w:color w:val="000000"/>
          <w:sz w:val="20"/>
          <w:szCs w:val="20"/>
          <w:lang w:val="es-419"/>
        </w:rPr>
        <w:t>los</w:t>
      </w:r>
      <w:r w:rsidRPr="00332655" w:rsidR="00332655">
        <w:rPr>
          <w:color w:val="000000"/>
          <w:sz w:val="20"/>
          <w:szCs w:val="20"/>
          <w:lang w:val="es-419"/>
        </w:rPr>
        <w:t xml:space="preserve"> que tienen capacitación básica en apoyo psicosocial (APS), restablecimiento de contacto entre familiares (RCF), protección infantil o participación comunitaria y rendición de cuentas a la comunidad (CEA)</w:t>
      </w:r>
      <w:r w:rsidRPr="00A24FDB">
        <w:rPr>
          <w:color w:val="000000"/>
          <w:sz w:val="20"/>
          <w:szCs w:val="20"/>
          <w:lang w:val="es-419"/>
        </w:rPr>
        <w:t>.</w:t>
      </w:r>
    </w:p>
  </w:footnote>
  <w:footnote w:id="4">
    <w:p w:rsidRPr="00A24FDB" w:rsidR="007B61D0" w:rsidRDefault="000C6B6A" w14:paraId="60D4C4DD" w14:textId="1CAE2022">
      <w:pPr>
        <w:pBdr>
          <w:top w:val="nil"/>
          <w:left w:val="nil"/>
          <w:bottom w:val="nil"/>
          <w:right w:val="nil"/>
          <w:between w:val="nil"/>
        </w:pBdr>
        <w:spacing w:after="0" w:line="240" w:lineRule="auto"/>
        <w:rPr>
          <w:color w:val="000000"/>
          <w:sz w:val="20"/>
          <w:szCs w:val="20"/>
          <w:lang w:val="es-419"/>
        </w:rPr>
      </w:pPr>
      <w:r w:rsidRPr="00A24FDB">
        <w:rPr>
          <w:rStyle w:val="Refdenotaalpie"/>
          <w:lang w:val="es-419"/>
        </w:rPr>
        <w:footnoteRef/>
      </w:r>
      <w:r w:rsidRPr="00A24FDB">
        <w:rPr>
          <w:color w:val="000000"/>
          <w:sz w:val="20"/>
          <w:szCs w:val="20"/>
          <w:lang w:val="es-419"/>
        </w:rPr>
        <w:t xml:space="preserve"> </w:t>
      </w:r>
      <w:r w:rsidR="00421E6F">
        <w:rPr>
          <w:b/>
          <w:color w:val="000000"/>
          <w:sz w:val="20"/>
          <w:szCs w:val="20"/>
          <w:lang w:val="es-419"/>
        </w:rPr>
        <w:t>Experimentado</w:t>
      </w:r>
      <w:r w:rsidRPr="00A24FDB">
        <w:rPr>
          <w:color w:val="000000"/>
          <w:sz w:val="20"/>
          <w:szCs w:val="20"/>
          <w:lang w:val="es-419"/>
        </w:rPr>
        <w:t xml:space="preserve">: </w:t>
      </w:r>
      <w:r w:rsidRPr="00332655" w:rsidR="00332655">
        <w:rPr>
          <w:color w:val="000000"/>
          <w:sz w:val="20"/>
          <w:szCs w:val="20"/>
          <w:lang w:val="es-419"/>
        </w:rPr>
        <w:t>Usted ha completado más de una capacitación en PGI</w:t>
      </w:r>
      <w:r w:rsidR="00A562B5">
        <w:rPr>
          <w:color w:val="000000"/>
          <w:sz w:val="20"/>
          <w:szCs w:val="20"/>
          <w:lang w:val="es-419"/>
        </w:rPr>
        <w:t>,</w:t>
      </w:r>
      <w:r w:rsidRPr="00332655" w:rsidR="00332655">
        <w:rPr>
          <w:color w:val="000000"/>
          <w:sz w:val="20"/>
          <w:szCs w:val="20"/>
          <w:lang w:val="es-419"/>
        </w:rPr>
        <w:t xml:space="preserve"> pero aún podría tener poca experiencia en temas especializados de protección. Las personas en esta categoría entienden y conocen las Normas Mínimas, están familiarizadas con el marco DAPS y han usado frecuentemente las Normas Mínimas en la práctica</w:t>
      </w:r>
      <w:r w:rsidRPr="00A24FDB">
        <w:rPr>
          <w:color w:val="000000"/>
          <w:sz w:val="20"/>
          <w:szCs w:val="20"/>
          <w:lang w:val="es-419"/>
        </w:rPr>
        <w:t xml:space="preserve">. </w:t>
      </w:r>
      <w:r w:rsidRPr="00B03C32" w:rsidR="00B03C32">
        <w:rPr>
          <w:color w:val="000000"/>
          <w:sz w:val="20"/>
          <w:szCs w:val="20"/>
          <w:lang w:val="es-419"/>
        </w:rPr>
        <w:t xml:space="preserve">Por ejemplo, usted ha completado la capacitación de </w:t>
      </w:r>
      <w:r w:rsidRPr="00B03C32" w:rsidR="00B03C32">
        <w:rPr>
          <w:i/>
          <w:iCs/>
          <w:color w:val="000000"/>
          <w:sz w:val="20"/>
          <w:szCs w:val="20"/>
          <w:lang w:val="es-419"/>
        </w:rPr>
        <w:t xml:space="preserve">7 </w:t>
      </w:r>
      <w:proofErr w:type="spellStart"/>
      <w:r w:rsidRPr="00B03C32" w:rsidR="00B03C32">
        <w:rPr>
          <w:i/>
          <w:iCs/>
          <w:color w:val="000000"/>
          <w:sz w:val="20"/>
          <w:szCs w:val="20"/>
          <w:lang w:val="es-419"/>
        </w:rPr>
        <w:t>Moves</w:t>
      </w:r>
      <w:proofErr w:type="spellEnd"/>
      <w:r w:rsidRPr="00B03C32" w:rsidR="00B03C32">
        <w:rPr>
          <w:color w:val="000000"/>
          <w:sz w:val="20"/>
          <w:szCs w:val="20"/>
          <w:lang w:val="es-419"/>
        </w:rPr>
        <w:t xml:space="preserve"> y también la capacitación en prevención y respuesta a la </w:t>
      </w:r>
      <w:r w:rsidR="00C97FCA">
        <w:rPr>
          <w:color w:val="000000"/>
          <w:sz w:val="20"/>
          <w:szCs w:val="20"/>
          <w:lang w:val="es-419"/>
        </w:rPr>
        <w:t>VBG</w:t>
      </w:r>
      <w:r w:rsidRPr="00B03C32" w:rsidR="00B03C32">
        <w:rPr>
          <w:color w:val="000000"/>
          <w:sz w:val="20"/>
          <w:szCs w:val="20"/>
          <w:lang w:val="es-419"/>
        </w:rPr>
        <w:t>, y ha implementado programas sectoriales o respuesta ante desastres utilizando este marco. Sin embargo, usted no es un experto en el manejo de casos de V</w:t>
      </w:r>
      <w:r w:rsidR="00C97FCA">
        <w:rPr>
          <w:color w:val="000000"/>
          <w:sz w:val="20"/>
          <w:szCs w:val="20"/>
          <w:lang w:val="es-419"/>
        </w:rPr>
        <w:t>B</w:t>
      </w:r>
      <w:r w:rsidRPr="00B03C32" w:rsidR="00B03C32">
        <w:rPr>
          <w:color w:val="000000"/>
          <w:sz w:val="20"/>
          <w:szCs w:val="20"/>
          <w:lang w:val="es-419"/>
        </w:rPr>
        <w:t>G, ni en la protección infantil, ni en la trata de seres humanos</w:t>
      </w:r>
      <w:r w:rsidRPr="00A24FDB">
        <w:rPr>
          <w:color w:val="000000"/>
          <w:sz w:val="20"/>
          <w:szCs w:val="20"/>
          <w:lang w:val="es-419"/>
        </w:rPr>
        <w:t xml:space="preserve">. </w:t>
      </w:r>
    </w:p>
  </w:footnote>
  <w:footnote w:id="5">
    <w:p w:rsidRPr="005F1E52" w:rsidR="007B61D0" w:rsidRDefault="000C6B6A" w14:paraId="5D91369D" w14:textId="474CB475">
      <w:pPr>
        <w:pBdr>
          <w:top w:val="nil"/>
          <w:left w:val="nil"/>
          <w:bottom w:val="nil"/>
          <w:right w:val="nil"/>
          <w:between w:val="nil"/>
        </w:pBdr>
        <w:spacing w:after="0" w:line="240" w:lineRule="auto"/>
        <w:rPr>
          <w:color w:val="000000"/>
          <w:sz w:val="20"/>
          <w:szCs w:val="20"/>
          <w:lang w:val="es-PE"/>
        </w:rPr>
      </w:pPr>
      <w:r w:rsidRPr="00A24FDB">
        <w:rPr>
          <w:rStyle w:val="Refdenotaalpie"/>
          <w:lang w:val="es-419"/>
        </w:rPr>
        <w:footnoteRef/>
      </w:r>
      <w:r w:rsidRPr="00A24FDB">
        <w:rPr>
          <w:color w:val="000000"/>
          <w:sz w:val="20"/>
          <w:szCs w:val="20"/>
          <w:lang w:val="es-419"/>
        </w:rPr>
        <w:t xml:space="preserve"> </w:t>
      </w:r>
      <w:r w:rsidR="00421E6F">
        <w:rPr>
          <w:b/>
          <w:color w:val="000000"/>
          <w:sz w:val="20"/>
          <w:szCs w:val="20"/>
          <w:lang w:val="es-419"/>
        </w:rPr>
        <w:t>Especializado</w:t>
      </w:r>
      <w:r w:rsidRPr="00A24FDB">
        <w:rPr>
          <w:b/>
          <w:color w:val="000000"/>
          <w:sz w:val="20"/>
          <w:szCs w:val="20"/>
          <w:lang w:val="es-419"/>
        </w:rPr>
        <w:t>:</w:t>
      </w:r>
      <w:r w:rsidRPr="00A24FDB">
        <w:rPr>
          <w:color w:val="000000"/>
          <w:sz w:val="20"/>
          <w:szCs w:val="20"/>
          <w:lang w:val="es-419"/>
        </w:rPr>
        <w:t xml:space="preserve"> </w:t>
      </w:r>
      <w:r w:rsidRPr="00B03C32" w:rsidR="00B03C32">
        <w:rPr>
          <w:color w:val="000000"/>
          <w:sz w:val="20"/>
          <w:szCs w:val="20"/>
          <w:lang w:val="es-419"/>
        </w:rPr>
        <w:t xml:space="preserve">Usted ha utilizado las Normas Mínimas en la práctica, ha facilitado capacitación </w:t>
      </w:r>
      <w:r w:rsidR="00A562B5">
        <w:rPr>
          <w:color w:val="000000"/>
          <w:sz w:val="20"/>
          <w:szCs w:val="20"/>
          <w:lang w:val="es-419"/>
        </w:rPr>
        <w:t>y charlas informativas</w:t>
      </w:r>
      <w:r w:rsidRPr="00B03C32" w:rsidR="00B03C32">
        <w:rPr>
          <w:color w:val="000000"/>
          <w:sz w:val="20"/>
          <w:szCs w:val="20"/>
          <w:lang w:val="es-419"/>
        </w:rPr>
        <w:t xml:space="preserve"> sobre conceptos de PGI y tiene experiencia en (por lo menos) un área independiente de protección, como la </w:t>
      </w:r>
      <w:r w:rsidR="00C97FCA">
        <w:rPr>
          <w:color w:val="000000"/>
          <w:sz w:val="20"/>
          <w:szCs w:val="20"/>
          <w:lang w:val="es-419"/>
        </w:rPr>
        <w:t>VBG</w:t>
      </w:r>
      <w:r w:rsidRPr="00B03C32" w:rsidR="00B03C32">
        <w:rPr>
          <w:color w:val="000000"/>
          <w:sz w:val="20"/>
          <w:szCs w:val="20"/>
          <w:lang w:val="es-419"/>
        </w:rPr>
        <w:t>, la protección infantil y/o la trata de seres humanos</w:t>
      </w:r>
      <w:r w:rsidRPr="00A24FDB">
        <w:rPr>
          <w:color w:val="000000"/>
          <w:sz w:val="20"/>
          <w:szCs w:val="20"/>
          <w:lang w:val="es-419"/>
        </w:rPr>
        <w:t xml:space="preserve">. </w:t>
      </w:r>
      <w:r w:rsidRPr="00B03C32" w:rsidR="00B03C32">
        <w:rPr>
          <w:color w:val="000000"/>
          <w:sz w:val="20"/>
          <w:szCs w:val="20"/>
          <w:lang w:val="es-419"/>
        </w:rPr>
        <w:t>Esta persona también podría tener experiencia en trabajo social y en gestión de casos. En la mayoría de los casos, el punto focal/delegado de PGI debería tener este nivel de conocimiento. Sin embargo, si esta es su primera operación de emergencia, usted podría caer dentro de la categoría naranja</w:t>
      </w:r>
      <w:r w:rsidRPr="00A24FDB">
        <w:rPr>
          <w:color w:val="000000"/>
          <w:sz w:val="20"/>
          <w:szCs w:val="20"/>
          <w:lang w:val="es-4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251B" w:rsidRDefault="005D251B" w14:paraId="7DDFC801"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251B" w:rsidRDefault="005D251B" w14:paraId="2456F488"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251B" w:rsidRDefault="005D251B" w14:paraId="136A0D39"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53A3B"/>
    <w:multiLevelType w:val="multilevel"/>
    <w:tmpl w:val="4C1C206A"/>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7A26448"/>
    <w:multiLevelType w:val="multilevel"/>
    <w:tmpl w:val="E76A87B6"/>
    <w:lvl w:ilvl="0">
      <w:start w:val="1"/>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2C0740C6"/>
    <w:multiLevelType w:val="multilevel"/>
    <w:tmpl w:val="647C4DAC"/>
    <w:lvl w:ilvl="0">
      <w:start w:val="1"/>
      <w:numFmt w:val="bullet"/>
      <w:lvlText w:val="-"/>
      <w:lvlJc w:val="left"/>
      <w:pPr>
        <w:ind w:left="360" w:hanging="360"/>
      </w:pPr>
      <w:rPr>
        <w:rFonts w:ascii="Calibri" w:hAnsi="Calibri" w:eastAsia="Calibri" w:cs="Calibri"/>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3" w15:restartNumberingAfterBreak="0">
    <w:nsid w:val="43C94400"/>
    <w:multiLevelType w:val="multilevel"/>
    <w:tmpl w:val="FF8AF22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73F26C4B"/>
    <w:multiLevelType w:val="multilevel"/>
    <w:tmpl w:val="AD82E4B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779B3E5B"/>
    <w:multiLevelType w:val="multilevel"/>
    <w:tmpl w:val="BBAC40CC"/>
    <w:lvl w:ilvl="0">
      <w:start w:val="2"/>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D0"/>
    <w:rsid w:val="00045F20"/>
    <w:rsid w:val="00065C93"/>
    <w:rsid w:val="000756B2"/>
    <w:rsid w:val="000C6B6A"/>
    <w:rsid w:val="000F7C8B"/>
    <w:rsid w:val="001A25FA"/>
    <w:rsid w:val="001D5837"/>
    <w:rsid w:val="002E0604"/>
    <w:rsid w:val="002F37B5"/>
    <w:rsid w:val="0031421F"/>
    <w:rsid w:val="00332655"/>
    <w:rsid w:val="00421E6F"/>
    <w:rsid w:val="00422C1B"/>
    <w:rsid w:val="00434401"/>
    <w:rsid w:val="00507F8B"/>
    <w:rsid w:val="00524FC5"/>
    <w:rsid w:val="005306A6"/>
    <w:rsid w:val="00541A56"/>
    <w:rsid w:val="00543DBF"/>
    <w:rsid w:val="005835B6"/>
    <w:rsid w:val="005D251B"/>
    <w:rsid w:val="005F1E52"/>
    <w:rsid w:val="0060007D"/>
    <w:rsid w:val="00626565"/>
    <w:rsid w:val="00632B83"/>
    <w:rsid w:val="006867DD"/>
    <w:rsid w:val="006E0EA2"/>
    <w:rsid w:val="00737CB1"/>
    <w:rsid w:val="007B61D0"/>
    <w:rsid w:val="007D6E80"/>
    <w:rsid w:val="00825ED5"/>
    <w:rsid w:val="0084138B"/>
    <w:rsid w:val="00852294"/>
    <w:rsid w:val="00853645"/>
    <w:rsid w:val="00854EDC"/>
    <w:rsid w:val="008D4048"/>
    <w:rsid w:val="008D5F41"/>
    <w:rsid w:val="008D689B"/>
    <w:rsid w:val="008F528B"/>
    <w:rsid w:val="009867BE"/>
    <w:rsid w:val="009B2161"/>
    <w:rsid w:val="00A24FDB"/>
    <w:rsid w:val="00A4798E"/>
    <w:rsid w:val="00A5150C"/>
    <w:rsid w:val="00A562B5"/>
    <w:rsid w:val="00A80A13"/>
    <w:rsid w:val="00A9020B"/>
    <w:rsid w:val="00AF1BF5"/>
    <w:rsid w:val="00B03C32"/>
    <w:rsid w:val="00B23A80"/>
    <w:rsid w:val="00C93D33"/>
    <w:rsid w:val="00C97FCA"/>
    <w:rsid w:val="00CC4CE8"/>
    <w:rsid w:val="00D063F0"/>
    <w:rsid w:val="00D61BC7"/>
    <w:rsid w:val="00D67D95"/>
    <w:rsid w:val="00DF444B"/>
    <w:rsid w:val="00E2772A"/>
    <w:rsid w:val="00E35CCA"/>
    <w:rsid w:val="00E51DE5"/>
    <w:rsid w:val="00E558EA"/>
    <w:rsid w:val="00E90603"/>
    <w:rsid w:val="00F15A32"/>
    <w:rsid w:val="00F37D35"/>
    <w:rsid w:val="00F41A6D"/>
    <w:rsid w:val="00F60646"/>
    <w:rsid w:val="00F959F3"/>
    <w:rsid w:val="00FA5520"/>
    <w:rsid w:val="098020B9"/>
    <w:rsid w:val="0B93705D"/>
    <w:rsid w:val="0BA8006B"/>
    <w:rsid w:val="0C311AC2"/>
    <w:rsid w:val="104B2C15"/>
    <w:rsid w:val="10C35E34"/>
    <w:rsid w:val="11B6B97C"/>
    <w:rsid w:val="13BADB02"/>
    <w:rsid w:val="17464307"/>
    <w:rsid w:val="1A8902DF"/>
    <w:rsid w:val="1C343296"/>
    <w:rsid w:val="1D9C5C2E"/>
    <w:rsid w:val="216946F6"/>
    <w:rsid w:val="21CBCBE6"/>
    <w:rsid w:val="21DC878A"/>
    <w:rsid w:val="249A8547"/>
    <w:rsid w:val="24F6D20A"/>
    <w:rsid w:val="2CF6CF3B"/>
    <w:rsid w:val="35C57F63"/>
    <w:rsid w:val="37A2D028"/>
    <w:rsid w:val="3A2A09C4"/>
    <w:rsid w:val="3A4ACCAB"/>
    <w:rsid w:val="3B1C1FCE"/>
    <w:rsid w:val="3D85346A"/>
    <w:rsid w:val="3F3EF18E"/>
    <w:rsid w:val="42EA96E8"/>
    <w:rsid w:val="447F3A15"/>
    <w:rsid w:val="5574D9F5"/>
    <w:rsid w:val="5695E042"/>
    <w:rsid w:val="56FC863D"/>
    <w:rsid w:val="574F90D5"/>
    <w:rsid w:val="5A9AD4E6"/>
    <w:rsid w:val="5AF7C542"/>
    <w:rsid w:val="5FA97F6D"/>
    <w:rsid w:val="62E9AECA"/>
    <w:rsid w:val="63319B11"/>
    <w:rsid w:val="671A978D"/>
    <w:rsid w:val="67A97C9E"/>
    <w:rsid w:val="6A7A3DA3"/>
    <w:rsid w:val="6CBF54FA"/>
    <w:rsid w:val="75EEFB82"/>
    <w:rsid w:val="7C81D6B4"/>
    <w:rsid w:val="7CB000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B2DC"/>
  <w15:docId w15:val="{080F6DD8-AE2B-42B8-81B4-AE35D0EB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aliases w:val="Varsayılan Paragraf Yazı Tipi,Standaardalinea-lettertype"/>
    <w:uiPriority w:val="1"/>
    <w:semiHidden/>
    <w:unhideWhenUsed/>
  </w:style>
  <w:style w:type="table" w:styleId="Tablanormal" w:default="1">
    <w:name w:val="Normal Table"/>
    <w:aliases w:val="Normal Tablo,Standaardtabel"/>
    <w:uiPriority w:val="99"/>
    <w:semiHidden/>
    <w:unhideWhenUsed/>
    <w:tblPr>
      <w:tblInd w:w="0" w:type="dxa"/>
      <w:tblCellMar>
        <w:top w:w="0" w:type="dxa"/>
        <w:left w:w="108" w:type="dxa"/>
        <w:bottom w:w="0" w:type="dxa"/>
        <w:right w:w="108" w:type="dxa"/>
      </w:tblCellMar>
    </w:tblPr>
  </w:style>
  <w:style w:type="numbering" w:styleId="Sinlista" w:default="1">
    <w:name w:val="No List"/>
    <w:aliases w:val="Liste Yok,Geen lij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76318"/>
    <w:pPr>
      <w:spacing w:after="0" w:line="240" w:lineRule="auto"/>
    </w:pPr>
    <w:rPr>
      <w:sz w:val="24"/>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C76318"/>
    <w:pPr>
      <w:spacing w:after="0" w:line="240" w:lineRule="auto"/>
      <w:ind w:left="720"/>
      <w:contextualSpacing/>
    </w:pPr>
    <w:rPr>
      <w:sz w:val="24"/>
      <w:szCs w:val="24"/>
      <w:lang w:val="en-GB"/>
    </w:rPr>
  </w:style>
  <w:style w:type="character" w:styleId="Hipervnculo">
    <w:name w:val="Hyperlink"/>
    <w:basedOn w:val="Fuentedeprrafopredeter"/>
    <w:uiPriority w:val="99"/>
    <w:unhideWhenUsed/>
    <w:rsid w:val="001B57E4"/>
    <w:rPr>
      <w:color w:val="0563C1" w:themeColor="hyperlink"/>
      <w:u w:val="single"/>
    </w:rPr>
  </w:style>
  <w:style w:type="character" w:styleId="Refdecomentario">
    <w:name w:val="annotation reference"/>
    <w:basedOn w:val="Fuentedeprrafopredeter"/>
    <w:uiPriority w:val="99"/>
    <w:semiHidden/>
    <w:unhideWhenUsed/>
    <w:rsid w:val="001B57E4"/>
    <w:rPr>
      <w:sz w:val="16"/>
      <w:szCs w:val="16"/>
    </w:rPr>
  </w:style>
  <w:style w:type="paragraph" w:styleId="Textocomentario">
    <w:name w:val="annotation text"/>
    <w:basedOn w:val="Normal"/>
    <w:link w:val="TextocomentarioCar"/>
    <w:uiPriority w:val="99"/>
    <w:unhideWhenUsed/>
    <w:rsid w:val="001B57E4"/>
    <w:pPr>
      <w:spacing w:line="240" w:lineRule="auto"/>
    </w:pPr>
    <w:rPr>
      <w:sz w:val="20"/>
      <w:szCs w:val="20"/>
    </w:rPr>
  </w:style>
  <w:style w:type="character" w:styleId="TextocomentarioCar" w:customStyle="1">
    <w:name w:val="Texto comentario Car"/>
    <w:basedOn w:val="Fuentedeprrafopredeter"/>
    <w:link w:val="Textocomentario"/>
    <w:uiPriority w:val="99"/>
    <w:rsid w:val="001B57E4"/>
    <w:rPr>
      <w:sz w:val="20"/>
      <w:szCs w:val="20"/>
    </w:rPr>
  </w:style>
  <w:style w:type="paragraph" w:styleId="Textodeglobo">
    <w:name w:val="Balloon Text"/>
    <w:basedOn w:val="Normal"/>
    <w:link w:val="TextodegloboCar"/>
    <w:uiPriority w:val="99"/>
    <w:semiHidden/>
    <w:unhideWhenUsed/>
    <w:rsid w:val="001B57E4"/>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B57E4"/>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anormal"/>
    <w:pPr>
      <w:spacing w:after="0" w:line="240" w:lineRule="auto"/>
    </w:pPr>
    <w:rPr>
      <w:sz w:val="24"/>
      <w:szCs w:val="24"/>
    </w:rPr>
    <w:tblPr>
      <w:tblStyleRowBandSize w:val="1"/>
      <w:tblStyleColBandSize w:val="1"/>
    </w:tblPr>
  </w:style>
  <w:style w:type="character" w:styleId="Mencinsinresolver">
    <w:name w:val="Unresolved Mention"/>
    <w:basedOn w:val="Fuentedeprrafopredeter"/>
    <w:uiPriority w:val="99"/>
    <w:semiHidden/>
    <w:unhideWhenUsed/>
    <w:rsid w:val="007245C3"/>
    <w:rPr>
      <w:color w:val="605E5C"/>
      <w:shd w:val="clear" w:color="auto" w:fill="E1DFDD"/>
    </w:rPr>
  </w:style>
  <w:style w:type="paragraph" w:styleId="Textonotapie">
    <w:name w:val="footnote text"/>
    <w:basedOn w:val="Normal"/>
    <w:link w:val="TextonotapieCar"/>
    <w:uiPriority w:val="99"/>
    <w:semiHidden/>
    <w:unhideWhenUsed/>
    <w:rsid w:val="007245C3"/>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7245C3"/>
    <w:rPr>
      <w:sz w:val="20"/>
      <w:szCs w:val="20"/>
    </w:rPr>
  </w:style>
  <w:style w:type="character" w:styleId="Refdenotaalpie">
    <w:name w:val="footnote reference"/>
    <w:basedOn w:val="Fuentedeprrafopredeter"/>
    <w:uiPriority w:val="99"/>
    <w:semiHidden/>
    <w:unhideWhenUsed/>
    <w:rsid w:val="007245C3"/>
    <w:rPr>
      <w:vertAlign w:val="superscript"/>
    </w:rPr>
  </w:style>
  <w:style w:type="paragraph" w:styleId="Asuntodelcomentario">
    <w:name w:val="annotation subject"/>
    <w:basedOn w:val="Textocomentario"/>
    <w:next w:val="Textocomentario"/>
    <w:link w:val="AsuntodelcomentarioCar"/>
    <w:uiPriority w:val="99"/>
    <w:semiHidden/>
    <w:unhideWhenUsed/>
    <w:rsid w:val="00E3277A"/>
    <w:rPr>
      <w:b/>
      <w:bCs/>
    </w:rPr>
  </w:style>
  <w:style w:type="character" w:styleId="AsuntodelcomentarioCar" w:customStyle="1">
    <w:name w:val="Asunto del comentario Car"/>
    <w:basedOn w:val="TextocomentarioCar"/>
    <w:link w:val="Asuntodelcomentario"/>
    <w:uiPriority w:val="99"/>
    <w:semiHidden/>
    <w:rsid w:val="00E3277A"/>
    <w:rPr>
      <w:b/>
      <w:bCs/>
      <w:sz w:val="20"/>
      <w:szCs w:val="20"/>
    </w:rPr>
  </w:style>
  <w:style w:type="table" w:styleId="a0" w:customStyle="1">
    <w:basedOn w:val="Tablanormal"/>
    <w:pPr>
      <w:spacing w:after="0" w:line="240" w:lineRule="auto"/>
    </w:pPr>
    <w:rPr>
      <w:sz w:val="24"/>
      <w:szCs w:val="24"/>
    </w:rPr>
    <w:tblPr>
      <w:tblStyleRowBandSize w:val="1"/>
      <w:tblStyleColBandSize w:val="1"/>
    </w:tblPr>
  </w:style>
  <w:style w:type="paragraph" w:styleId="Encabezado">
    <w:name w:val="header"/>
    <w:basedOn w:val="Normal"/>
    <w:link w:val="EncabezadoCar"/>
    <w:uiPriority w:val="99"/>
    <w:unhideWhenUsed/>
    <w:rsid w:val="005D251B"/>
    <w:pPr>
      <w:tabs>
        <w:tab w:val="center" w:pos="4513"/>
        <w:tab w:val="right" w:pos="9026"/>
      </w:tabs>
      <w:spacing w:after="0" w:line="240" w:lineRule="auto"/>
    </w:pPr>
  </w:style>
  <w:style w:type="character" w:styleId="EncabezadoCar" w:customStyle="1">
    <w:name w:val="Encabezado Car"/>
    <w:basedOn w:val="Fuentedeprrafopredeter"/>
    <w:link w:val="Encabezado"/>
    <w:uiPriority w:val="99"/>
    <w:rsid w:val="005D251B"/>
  </w:style>
  <w:style w:type="paragraph" w:styleId="Piedepgina">
    <w:name w:val="footer"/>
    <w:basedOn w:val="Normal"/>
    <w:link w:val="PiedepginaCar"/>
    <w:uiPriority w:val="99"/>
    <w:unhideWhenUsed/>
    <w:rsid w:val="005D251B"/>
    <w:pPr>
      <w:tabs>
        <w:tab w:val="center" w:pos="4513"/>
        <w:tab w:val="right" w:pos="9026"/>
      </w:tabs>
      <w:spacing w:after="0" w:line="240" w:lineRule="auto"/>
    </w:pPr>
  </w:style>
  <w:style w:type="character" w:styleId="PiedepginaCar" w:customStyle="1">
    <w:name w:val="Pie de página Car"/>
    <w:basedOn w:val="Fuentedeprrafopredeter"/>
    <w:link w:val="Piedepgina"/>
    <w:uiPriority w:val="99"/>
    <w:rsid w:val="005D2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ifrc.org/ifrc/document/minimum-standards-protection-gender-inclusion-emergencie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14" Type="http://schemas.openxmlformats.org/officeDocument/2006/relationships/header" Target="header3.xml"/><Relationship Id="R4a5eb374b4dc45cf"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wn0Rx6YAM+gaXSoBNyksM58KWA==">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F2B7F3C5C0A2A4BB61DAF6A850ED093" ma:contentTypeVersion="16" ma:contentTypeDescription="Create a new document." ma:contentTypeScope="" ma:versionID="c9b083d17ed4a87e112d2c1ccf4c5c2f">
  <xsd:schema xmlns:xsd="http://www.w3.org/2001/XMLSchema" xmlns:xs="http://www.w3.org/2001/XMLSchema" xmlns:p="http://schemas.microsoft.com/office/2006/metadata/properties" xmlns:ns2="b1a78e76-1398-4894-b91e-0ed00ed58fac" xmlns:ns3="133e5729-7bb1-4685-bd1f-c5e580a2ee33" targetNamespace="http://schemas.microsoft.com/office/2006/metadata/properties" ma:root="true" ma:fieldsID="ba8ebd649bf38b2e01dd1059ede1e421" ns2:_="" ns3:_="">
    <xsd:import namespace="b1a78e76-1398-4894-b91e-0ed00ed58fac"/>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escription" minOccurs="0"/>
                <xsd:element ref="ns2:Type_x0020_of_x0020_resources" minOccurs="0"/>
                <xsd:element ref="ns3:SharedWithUsers" minOccurs="0"/>
                <xsd:element ref="ns3:SharedWithDetails" minOccurs="0"/>
                <xsd:element ref="ns2:MediaServiceLocation" minOccurs="0"/>
                <xsd:element ref="ns2:Arabi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8e76-1398-4894-b91e-0ed00ed5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description="A description of the description&#10;" ma:format="Dropdown" ma:internalName="Description">
      <xsd:simpleType>
        <xsd:restriction base="dms:Note">
          <xsd:maxLength value="255"/>
        </xsd:restriction>
      </xsd:simpleType>
    </xsd:element>
    <xsd:element name="Type_x0020_of_x0020_resources" ma:index="18" nillable="true" ma:displayName="Type" ma:internalName="Type_x0020_of_x0020_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Arabic" ma:index="22" nillable="true" ma:displayName="Arabic" ma:internalName="Arabic">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79E771-B301-4CE4-9C22-F9FF7BCAED74}"/>
</file>

<file path=customXml/itemProps3.xml><?xml version="1.0" encoding="utf-8"?>
<ds:datastoreItem xmlns:ds="http://schemas.openxmlformats.org/officeDocument/2006/customXml" ds:itemID="{4B1D8AE7-1F7B-413A-B86A-6CD29BBD6D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May Maloney</dc:creator>
  <lastModifiedBy>Evelyn VALLEJO</lastModifiedBy>
  <revision>27</revision>
  <dcterms:created xsi:type="dcterms:W3CDTF">2021-04-13T11:53:00.0000000Z</dcterms:created>
  <dcterms:modified xsi:type="dcterms:W3CDTF">2021-04-21T14:50:33.1556411Z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7bb2d41e-ed9b-4ad8-ab74-d778aadd545f</vt:lpwstr>
  </property>
  <property fmtid="{D5CDD505-2E9C-101B-9397-08002B2CF9AE}" pid="8" name="MSIP_Label_caf3f7fd-5cd4-4287-9002-aceb9af13c42_Method">
    <vt:lpwstr>Privileged</vt:lpwstr>
  </property>
  <property fmtid="{D5CDD505-2E9C-101B-9397-08002B2CF9AE}" pid="9" name="MSIP_Label_caf3f7fd-5cd4-4287-9002-aceb9af13c42_SetDate">
    <vt:lpwstr>2021-04-13T11:53:07Z</vt:lpwstr>
  </property>
  <property fmtid="{D5CDD505-2E9C-101B-9397-08002B2CF9AE}" pid="10" name="MSIP_Label_caf3f7fd-5cd4-4287-9002-aceb9af13c42_Name">
    <vt:lpwstr>Public</vt:lpwstr>
  </property>
  <property fmtid="{D5CDD505-2E9C-101B-9397-08002B2CF9AE}" pid="11" name="MSIP_Label_caf3f7fd-5cd4-4287-9002-aceb9af13c42_ContentBits">
    <vt:lpwstr>2</vt:lpwstr>
  </property>
</Properties>
</file>