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9CB28" w14:textId="21DB7BBB" w:rsidR="000819CC" w:rsidRPr="00D55627" w:rsidRDefault="00D55627" w:rsidP="000819CC">
      <w:pPr>
        <w:rPr>
          <w:sz w:val="20"/>
          <w:szCs w:val="20"/>
          <w:lang w:val="es-419"/>
        </w:rPr>
      </w:pPr>
      <w:r w:rsidRPr="00D55627">
        <w:rPr>
          <w:b/>
          <w:bCs/>
          <w:sz w:val="20"/>
          <w:szCs w:val="20"/>
          <w:lang w:val="es-419"/>
        </w:rPr>
        <w:t>Herramienta 2.1: Orientación para transversalizar las Normas Mínimas para la PGI en Emergencias de la FICR en la práctica</w:t>
      </w:r>
    </w:p>
    <w:p w14:paraId="0C09E033" w14:textId="77777777" w:rsidR="00D55627" w:rsidRDefault="00D55627" w:rsidP="000819CC">
      <w:pPr>
        <w:rPr>
          <w:sz w:val="20"/>
          <w:szCs w:val="20"/>
          <w:lang w:val="es-419"/>
        </w:rPr>
      </w:pPr>
    </w:p>
    <w:p w14:paraId="2ECC72E7" w14:textId="4D4A77E0" w:rsidR="000819CC" w:rsidRPr="00D55627" w:rsidRDefault="00D55627" w:rsidP="003C36BC">
      <w:pPr>
        <w:jc w:val="both"/>
        <w:rPr>
          <w:sz w:val="20"/>
          <w:szCs w:val="20"/>
          <w:lang w:val="es-419"/>
        </w:rPr>
      </w:pPr>
      <w:r w:rsidRPr="00D55627">
        <w:rPr>
          <w:sz w:val="20"/>
          <w:szCs w:val="20"/>
          <w:lang w:val="es-419"/>
        </w:rPr>
        <w:t>Esta es una guía básica y de alto nivel sobre los pasos a seguir para transversalizar de manera eficaz las normas mínimas de PGI según lo establec</w:t>
      </w:r>
      <w:r w:rsidR="006B7D89">
        <w:rPr>
          <w:sz w:val="20"/>
          <w:szCs w:val="20"/>
          <w:lang w:val="es-419"/>
        </w:rPr>
        <w:t xml:space="preserve">ido en las </w:t>
      </w:r>
      <w:r w:rsidRPr="00D55627">
        <w:rPr>
          <w:b/>
          <w:bCs/>
          <w:sz w:val="20"/>
          <w:szCs w:val="20"/>
          <w:lang w:val="es-419"/>
        </w:rPr>
        <w:t>Normas Mínimas para la PGI en Emergencias de la FICR</w:t>
      </w:r>
      <w:r w:rsidR="00396448" w:rsidRPr="00D55627">
        <w:rPr>
          <w:sz w:val="20"/>
          <w:szCs w:val="20"/>
          <w:lang w:val="es-419"/>
        </w:rPr>
        <w:t>.</w:t>
      </w:r>
    </w:p>
    <w:p w14:paraId="46C4304F" w14:textId="6F7E0E8E" w:rsidR="000819CC" w:rsidRPr="00D55627" w:rsidRDefault="000819CC" w:rsidP="003C36BC">
      <w:pPr>
        <w:jc w:val="both"/>
        <w:rPr>
          <w:sz w:val="20"/>
          <w:szCs w:val="20"/>
          <w:lang w:val="es-419"/>
        </w:rPr>
      </w:pPr>
    </w:p>
    <w:p w14:paraId="52013ED8" w14:textId="235CDA84" w:rsidR="000819CC" w:rsidRPr="00D55627" w:rsidRDefault="00D55627" w:rsidP="003C36BC">
      <w:pPr>
        <w:jc w:val="both"/>
        <w:rPr>
          <w:sz w:val="20"/>
          <w:szCs w:val="20"/>
          <w:lang w:val="es-419"/>
        </w:rPr>
      </w:pPr>
      <w:r w:rsidRPr="00D55627">
        <w:rPr>
          <w:sz w:val="20"/>
          <w:szCs w:val="20"/>
          <w:lang w:val="es-419"/>
        </w:rPr>
        <w:t xml:space="preserve">El público objetivo de esta guía son los puntos focales/delegados de PGI que son responsables de asesorar a otros sobre cómo transversalizar la PGI en todos los sectores, o </w:t>
      </w:r>
      <w:r w:rsidR="00C023C1">
        <w:rPr>
          <w:sz w:val="20"/>
          <w:szCs w:val="20"/>
          <w:lang w:val="es-419"/>
        </w:rPr>
        <w:t>los</w:t>
      </w:r>
      <w:r w:rsidRPr="00D55627">
        <w:rPr>
          <w:sz w:val="20"/>
          <w:szCs w:val="20"/>
          <w:lang w:val="es-419"/>
        </w:rPr>
        <w:t xml:space="preserve"> colegas que trabajan en gestión de desastres que son responsables de asesorar al equipo de operaciones sobre las prioridades de transversalización de la PGI</w:t>
      </w:r>
      <w:r w:rsidR="00396448" w:rsidRPr="00D55627">
        <w:rPr>
          <w:sz w:val="20"/>
          <w:szCs w:val="20"/>
          <w:lang w:val="es-419"/>
        </w:rPr>
        <w:t>.</w:t>
      </w:r>
    </w:p>
    <w:p w14:paraId="4F10AC1B" w14:textId="4DA7617F" w:rsidR="00396448" w:rsidRPr="00D55627" w:rsidRDefault="00396448" w:rsidP="003C36BC">
      <w:pPr>
        <w:jc w:val="both"/>
        <w:rPr>
          <w:sz w:val="20"/>
          <w:szCs w:val="20"/>
          <w:lang w:val="es-419"/>
        </w:rPr>
      </w:pPr>
    </w:p>
    <w:p w14:paraId="29542F3D" w14:textId="7A27ECC6" w:rsidR="00396448" w:rsidRPr="00D55627" w:rsidRDefault="00D55627" w:rsidP="003C36BC">
      <w:pPr>
        <w:jc w:val="both"/>
        <w:rPr>
          <w:sz w:val="20"/>
          <w:szCs w:val="20"/>
          <w:lang w:val="es-419"/>
        </w:rPr>
      </w:pPr>
      <w:r w:rsidRPr="00D55627">
        <w:rPr>
          <w:sz w:val="20"/>
          <w:szCs w:val="20"/>
          <w:lang w:val="es-419"/>
        </w:rPr>
        <w:t>Todos los capítulos de este kit de herramientas brindan herramientas útiles y prácticas para la transversalización. A continuación, se describen algunos pasos simples</w:t>
      </w:r>
      <w:r w:rsidR="00396448" w:rsidRPr="00D55627">
        <w:rPr>
          <w:sz w:val="20"/>
          <w:szCs w:val="20"/>
          <w:lang w:val="es-419"/>
        </w:rPr>
        <w:t>.</w:t>
      </w:r>
    </w:p>
    <w:p w14:paraId="71AA1105" w14:textId="77777777" w:rsidR="00396448" w:rsidRPr="00D55627" w:rsidRDefault="00396448" w:rsidP="003C36BC">
      <w:pPr>
        <w:jc w:val="both"/>
        <w:rPr>
          <w:sz w:val="20"/>
          <w:szCs w:val="20"/>
          <w:lang w:val="es-419"/>
        </w:rPr>
      </w:pPr>
    </w:p>
    <w:p w14:paraId="16FFBE9D" w14:textId="6C7EB935" w:rsidR="000819CC" w:rsidRPr="00D55627" w:rsidRDefault="00D55627" w:rsidP="003C36BC">
      <w:pPr>
        <w:jc w:val="both"/>
        <w:rPr>
          <w:b/>
          <w:sz w:val="20"/>
          <w:szCs w:val="20"/>
          <w:lang w:val="es-419"/>
        </w:rPr>
      </w:pPr>
      <w:r w:rsidRPr="00D55627">
        <w:rPr>
          <w:b/>
          <w:sz w:val="20"/>
          <w:szCs w:val="20"/>
          <w:lang w:val="es-419"/>
        </w:rPr>
        <w:t>Pasos clave para establecer la transversalización de la PG</w:t>
      </w:r>
      <w:r w:rsidR="00C1160A">
        <w:rPr>
          <w:b/>
          <w:sz w:val="20"/>
          <w:szCs w:val="20"/>
          <w:lang w:val="es-419"/>
        </w:rPr>
        <w:t>I</w:t>
      </w:r>
      <w:r w:rsidRPr="00D55627">
        <w:rPr>
          <w:b/>
          <w:sz w:val="20"/>
          <w:szCs w:val="20"/>
          <w:lang w:val="es-419"/>
        </w:rPr>
        <w:t xml:space="preserve"> en emergencias</w:t>
      </w:r>
    </w:p>
    <w:p w14:paraId="69CC4DA0" w14:textId="5DCAF3C6" w:rsidR="000819CC" w:rsidRPr="00D55627" w:rsidRDefault="000819CC" w:rsidP="003C36BC">
      <w:pPr>
        <w:jc w:val="both"/>
        <w:rPr>
          <w:b/>
          <w:sz w:val="20"/>
          <w:szCs w:val="20"/>
          <w:lang w:val="es-419"/>
        </w:rPr>
      </w:pPr>
    </w:p>
    <w:p w14:paraId="73712393" w14:textId="04187610" w:rsidR="00396448" w:rsidRPr="00D55627" w:rsidRDefault="00D55627" w:rsidP="003C36BC">
      <w:pPr>
        <w:pStyle w:val="ListParagraph"/>
        <w:numPr>
          <w:ilvl w:val="0"/>
          <w:numId w:val="5"/>
        </w:numPr>
        <w:jc w:val="both"/>
        <w:rPr>
          <w:sz w:val="20"/>
          <w:szCs w:val="20"/>
          <w:lang w:val="es-419"/>
        </w:rPr>
      </w:pPr>
      <w:r w:rsidRPr="00D55627">
        <w:rPr>
          <w:sz w:val="20"/>
          <w:szCs w:val="20"/>
          <w:lang w:val="es-419"/>
        </w:rPr>
        <w:t>Analice los problemas de PGI (por ejemplo, utilizando las herramientas del Capítulo 1) y prepare mensajes clave sobre cómo la PGI puede transversalizarse en la operación en general y en cada sector. Comparta información sobre los roles de género en el contexto local, así como las cuestiones de inclusión y de protección</w:t>
      </w:r>
      <w:r w:rsidR="0031140F" w:rsidRPr="00D55627">
        <w:rPr>
          <w:sz w:val="20"/>
          <w:szCs w:val="20"/>
          <w:lang w:val="es-419"/>
        </w:rPr>
        <w:t xml:space="preserve">. </w:t>
      </w:r>
      <w:r w:rsidRPr="00D55627">
        <w:rPr>
          <w:sz w:val="20"/>
          <w:szCs w:val="20"/>
          <w:lang w:val="es-419"/>
        </w:rPr>
        <w:t>Otros deberán hacer ajustes específicos a su programación en respuesta a este análisis. Comparta esta información ampliamente y busque colaboración para lograrlo</w:t>
      </w:r>
      <w:r w:rsidR="00396448" w:rsidRPr="00D55627">
        <w:rPr>
          <w:sz w:val="20"/>
          <w:szCs w:val="20"/>
          <w:lang w:val="es-419"/>
        </w:rPr>
        <w:t>.</w:t>
      </w:r>
    </w:p>
    <w:p w14:paraId="76026F10" w14:textId="77777777" w:rsidR="0031140F" w:rsidRPr="00D55627" w:rsidRDefault="0031140F" w:rsidP="003C36BC">
      <w:pPr>
        <w:jc w:val="both"/>
        <w:rPr>
          <w:sz w:val="20"/>
          <w:szCs w:val="20"/>
          <w:lang w:val="es-419"/>
        </w:rPr>
      </w:pPr>
    </w:p>
    <w:p w14:paraId="28410AEB" w14:textId="5F89C2A7" w:rsidR="00396448" w:rsidRPr="00D55627" w:rsidRDefault="00D55627" w:rsidP="003C36BC">
      <w:pPr>
        <w:pStyle w:val="ListParagraph"/>
        <w:numPr>
          <w:ilvl w:val="0"/>
          <w:numId w:val="5"/>
        </w:numPr>
        <w:jc w:val="both"/>
        <w:rPr>
          <w:sz w:val="20"/>
          <w:szCs w:val="20"/>
          <w:lang w:val="es-419"/>
        </w:rPr>
      </w:pPr>
      <w:r w:rsidRPr="00D55627">
        <w:rPr>
          <w:sz w:val="20"/>
          <w:szCs w:val="20"/>
          <w:lang w:val="es-419"/>
        </w:rPr>
        <w:t>Tanto en las reuniones informativas como en otras, explique qué es la PGI (puede utilizarse la presentación en este kit de herramientas que brinda una descripción general de la PGI), repase la guía de una página que sugiere intervenciones de PGI para toda la operación y asegúrese de obtener apoyo para dar una descripción general de la PGI a todo el personal y los voluntarios en la oficina. Además, comparta ampliamente las Normas Mínimas sobre Protección, Género e Inclusión de la FICR</w:t>
      </w:r>
      <w:r w:rsidR="00396448" w:rsidRPr="00D55627">
        <w:rPr>
          <w:sz w:val="20"/>
          <w:szCs w:val="20"/>
          <w:lang w:val="es-419"/>
        </w:rPr>
        <w:t>.</w:t>
      </w:r>
    </w:p>
    <w:p w14:paraId="1D9D4FB4" w14:textId="77777777" w:rsidR="0031140F" w:rsidRPr="00D55627" w:rsidRDefault="0031140F" w:rsidP="003C36BC">
      <w:pPr>
        <w:pStyle w:val="ListParagraph"/>
        <w:jc w:val="both"/>
        <w:rPr>
          <w:sz w:val="20"/>
          <w:szCs w:val="20"/>
          <w:lang w:val="es-419"/>
        </w:rPr>
      </w:pPr>
    </w:p>
    <w:p w14:paraId="6EFC48EA" w14:textId="337BCB64" w:rsidR="00396448" w:rsidRPr="00D55627" w:rsidRDefault="00D55627" w:rsidP="003C36BC">
      <w:pPr>
        <w:pStyle w:val="ListParagraph"/>
        <w:numPr>
          <w:ilvl w:val="0"/>
          <w:numId w:val="5"/>
        </w:numPr>
        <w:jc w:val="both"/>
        <w:rPr>
          <w:sz w:val="20"/>
          <w:szCs w:val="20"/>
          <w:lang w:val="es-419"/>
        </w:rPr>
      </w:pPr>
      <w:r w:rsidRPr="00D55627">
        <w:rPr>
          <w:sz w:val="20"/>
          <w:szCs w:val="20"/>
          <w:lang w:val="es-419"/>
        </w:rPr>
        <w:t>Durante las primeras tres semanas de la operación, asegúrese de proporcionar actualizaciones constantes sobre "Qué es la PGI" (use el Capítulo 1: Presentaciones de Resúmenes</w:t>
      </w:r>
      <w:r w:rsidR="006B7D89">
        <w:rPr>
          <w:sz w:val="20"/>
          <w:szCs w:val="20"/>
          <w:lang w:val="es-419"/>
        </w:rPr>
        <w:t xml:space="preserve"> Informativos</w:t>
      </w:r>
      <w:r w:rsidRPr="00D55627">
        <w:rPr>
          <w:sz w:val="20"/>
          <w:szCs w:val="20"/>
          <w:lang w:val="es-419"/>
        </w:rPr>
        <w:t xml:space="preserve"> sobre l</w:t>
      </w:r>
      <w:r w:rsidR="006B7D89">
        <w:rPr>
          <w:sz w:val="20"/>
          <w:szCs w:val="20"/>
          <w:lang w:val="es-419"/>
        </w:rPr>
        <w:t>a</w:t>
      </w:r>
      <w:r w:rsidRPr="00D55627">
        <w:rPr>
          <w:sz w:val="20"/>
          <w:szCs w:val="20"/>
          <w:lang w:val="es-419"/>
        </w:rPr>
        <w:t xml:space="preserve"> PGI en este kit de herramientas) y por qué es importante, y asegúrese de que otros puedan identificar las herramientas necesarias para implementar un enfoque sensible a la PGI (tales como las normas mínimas, pero más específicamente algunas acciones que tomarán en su sector</w:t>
      </w:r>
      <w:r w:rsidR="00396448" w:rsidRPr="00D55627">
        <w:rPr>
          <w:sz w:val="20"/>
          <w:szCs w:val="20"/>
          <w:lang w:val="es-419"/>
        </w:rPr>
        <w:t>)</w:t>
      </w:r>
    </w:p>
    <w:p w14:paraId="3FC6152A" w14:textId="77777777" w:rsidR="0031140F" w:rsidRPr="00D55627" w:rsidRDefault="0031140F" w:rsidP="003C36BC">
      <w:pPr>
        <w:jc w:val="both"/>
        <w:rPr>
          <w:sz w:val="20"/>
          <w:szCs w:val="20"/>
          <w:lang w:val="es-419"/>
        </w:rPr>
      </w:pPr>
    </w:p>
    <w:p w14:paraId="6B6F1746" w14:textId="6A1B6311" w:rsidR="0031140F" w:rsidRPr="00D55627" w:rsidRDefault="0031140F" w:rsidP="003C36BC">
      <w:pPr>
        <w:pStyle w:val="ListParagraph"/>
        <w:numPr>
          <w:ilvl w:val="0"/>
          <w:numId w:val="5"/>
        </w:numPr>
        <w:jc w:val="both"/>
        <w:rPr>
          <w:sz w:val="20"/>
          <w:szCs w:val="20"/>
          <w:lang w:val="es-419"/>
        </w:rPr>
      </w:pPr>
      <w:r w:rsidRPr="00D55627">
        <w:rPr>
          <w:sz w:val="20"/>
          <w:szCs w:val="20"/>
          <w:lang w:val="es-419"/>
        </w:rPr>
        <w:t>(</w:t>
      </w:r>
      <w:r w:rsidR="000C5542" w:rsidRPr="000C5542">
        <w:rPr>
          <w:sz w:val="20"/>
          <w:szCs w:val="20"/>
          <w:lang w:val="es-419"/>
        </w:rPr>
        <w:t>Si se identifica a un miembro del personal o líder específico de PGI</w:t>
      </w:r>
      <w:r w:rsidRPr="00D55627">
        <w:rPr>
          <w:sz w:val="20"/>
          <w:szCs w:val="20"/>
          <w:lang w:val="es-419"/>
        </w:rPr>
        <w:t>)</w:t>
      </w:r>
      <w:r w:rsidR="00C023C1">
        <w:rPr>
          <w:sz w:val="20"/>
          <w:szCs w:val="20"/>
          <w:lang w:val="es-419"/>
        </w:rPr>
        <w:t>:</w:t>
      </w:r>
      <w:r w:rsidRPr="00D55627">
        <w:rPr>
          <w:sz w:val="20"/>
          <w:szCs w:val="20"/>
          <w:lang w:val="es-419"/>
        </w:rPr>
        <w:t xml:space="preserve"> </w:t>
      </w:r>
      <w:r w:rsidR="000C5542" w:rsidRPr="000C5542">
        <w:rPr>
          <w:sz w:val="20"/>
          <w:szCs w:val="20"/>
          <w:lang w:val="es-419"/>
        </w:rPr>
        <w:t>Programe reuniones individuales con cada líder</w:t>
      </w:r>
      <w:r w:rsidR="000C5542">
        <w:rPr>
          <w:sz w:val="20"/>
          <w:szCs w:val="20"/>
          <w:lang w:val="es-419"/>
        </w:rPr>
        <w:t xml:space="preserve"> de</w:t>
      </w:r>
      <w:r w:rsidR="000C5542" w:rsidRPr="000C5542">
        <w:rPr>
          <w:sz w:val="20"/>
          <w:szCs w:val="20"/>
          <w:lang w:val="es-419"/>
        </w:rPr>
        <w:t xml:space="preserve"> sector. Explique a esta persona lo siguiente: (a) lo que es la PGI (puede utilizarse de nuevo la presentación de</w:t>
      </w:r>
      <w:r w:rsidR="00E04EB1">
        <w:rPr>
          <w:sz w:val="20"/>
          <w:szCs w:val="20"/>
          <w:lang w:val="es-419"/>
        </w:rPr>
        <w:t xml:space="preserve"> los Resúmenes Informativos sobre </w:t>
      </w:r>
      <w:r w:rsidR="00C023C1">
        <w:rPr>
          <w:sz w:val="20"/>
          <w:szCs w:val="20"/>
          <w:lang w:val="es-419"/>
        </w:rPr>
        <w:t xml:space="preserve">la </w:t>
      </w:r>
      <w:r w:rsidR="000C5542" w:rsidRPr="000C5542">
        <w:rPr>
          <w:sz w:val="20"/>
          <w:szCs w:val="20"/>
          <w:lang w:val="es-419"/>
        </w:rPr>
        <w:t>PGI</w:t>
      </w:r>
      <w:r w:rsidR="00C1160A">
        <w:rPr>
          <w:sz w:val="20"/>
          <w:szCs w:val="20"/>
          <w:lang w:val="es-419"/>
        </w:rPr>
        <w:t>,</w:t>
      </w:r>
      <w:r w:rsidR="000C5542" w:rsidRPr="000C5542">
        <w:rPr>
          <w:sz w:val="20"/>
          <w:szCs w:val="20"/>
          <w:lang w:val="es-419"/>
        </w:rPr>
        <w:t xml:space="preserve"> o un formato más corto si la persona no tiene mucho tiempo); (b) discutan el documento sectorial de media página</w:t>
      </w:r>
      <w:r w:rsidR="000819CC" w:rsidRPr="00D55627">
        <w:rPr>
          <w:sz w:val="20"/>
          <w:szCs w:val="20"/>
          <w:lang w:val="es-419"/>
        </w:rPr>
        <w:t xml:space="preserve">; (c) </w:t>
      </w:r>
      <w:r w:rsidR="000C5542" w:rsidRPr="000C5542">
        <w:rPr>
          <w:sz w:val="20"/>
          <w:szCs w:val="20"/>
          <w:lang w:val="es-419"/>
        </w:rPr>
        <w:t xml:space="preserve">comparta su plan de actividades para el programa de PGI con esta persona y resalte si existen vínculos directos con el equipo del líder del sector (consulte la muestra de marco lógico de PGI en el Capítulo 4 del kit de herramientas); (d) programe </w:t>
      </w:r>
      <w:r w:rsidR="00E04EB1">
        <w:rPr>
          <w:sz w:val="20"/>
          <w:szCs w:val="20"/>
          <w:lang w:val="es-419"/>
        </w:rPr>
        <w:t xml:space="preserve">una </w:t>
      </w:r>
      <w:r w:rsidR="000C5542" w:rsidRPr="000C5542">
        <w:rPr>
          <w:sz w:val="20"/>
          <w:szCs w:val="20"/>
          <w:lang w:val="es-419"/>
        </w:rPr>
        <w:t>reunión individual con el líder del sector cada dos semanas durante los primeros tres meses para monitorear los avances</w:t>
      </w:r>
      <w:r w:rsidR="000819CC" w:rsidRPr="00D55627">
        <w:rPr>
          <w:sz w:val="20"/>
          <w:szCs w:val="20"/>
          <w:lang w:val="es-419"/>
        </w:rPr>
        <w:t xml:space="preserve">. </w:t>
      </w:r>
      <w:r w:rsidR="000C5542" w:rsidRPr="000C5542">
        <w:rPr>
          <w:sz w:val="20"/>
          <w:szCs w:val="20"/>
          <w:lang w:val="es-419"/>
        </w:rPr>
        <w:t xml:space="preserve">Después de los primeros tres meses, y dependiendo del contexto, la reunión puede realizarse mensualmente; (e) siga adaptando el documento de media página según cómo vaya </w:t>
      </w:r>
      <w:r w:rsidR="000C5542">
        <w:rPr>
          <w:sz w:val="20"/>
          <w:szCs w:val="20"/>
          <w:lang w:val="es-419"/>
        </w:rPr>
        <w:t>avanzando</w:t>
      </w:r>
      <w:r w:rsidR="000C5542" w:rsidRPr="000C5542">
        <w:rPr>
          <w:sz w:val="20"/>
          <w:szCs w:val="20"/>
          <w:lang w:val="es-419"/>
        </w:rPr>
        <w:t xml:space="preserve"> la implementación del programa</w:t>
      </w:r>
      <w:r w:rsidR="00BF300A" w:rsidRPr="00D55627">
        <w:rPr>
          <w:sz w:val="20"/>
          <w:szCs w:val="20"/>
          <w:lang w:val="es-419"/>
        </w:rPr>
        <w:t>.</w:t>
      </w:r>
    </w:p>
    <w:p w14:paraId="2B47D512" w14:textId="77777777" w:rsidR="0031140F" w:rsidRPr="00D55627" w:rsidRDefault="0031140F" w:rsidP="003C36BC">
      <w:pPr>
        <w:pStyle w:val="ListParagraph"/>
        <w:jc w:val="both"/>
        <w:rPr>
          <w:sz w:val="20"/>
          <w:szCs w:val="20"/>
          <w:lang w:val="es-419"/>
        </w:rPr>
      </w:pPr>
    </w:p>
    <w:p w14:paraId="6AC06658" w14:textId="0AC76471" w:rsidR="000819CC" w:rsidRPr="00D55627" w:rsidRDefault="000C5542" w:rsidP="003C36BC">
      <w:pPr>
        <w:pStyle w:val="ListParagraph"/>
        <w:numPr>
          <w:ilvl w:val="0"/>
          <w:numId w:val="5"/>
        </w:numPr>
        <w:jc w:val="both"/>
        <w:rPr>
          <w:sz w:val="20"/>
          <w:szCs w:val="20"/>
          <w:lang w:val="es-419"/>
        </w:rPr>
      </w:pPr>
      <w:r w:rsidRPr="000C5542">
        <w:rPr>
          <w:sz w:val="20"/>
          <w:szCs w:val="20"/>
          <w:lang w:val="es-419"/>
        </w:rPr>
        <w:t>Si es factible, cree un grupo de trabajo (o únase a un grupo de trabajo existente) con otros puntos focales y delegados de PGI/ APS/CEA. Durante las primeras dos semanas de la operación de emergencia, establezca con los miembros del grupo de trabajo (a) una ruta de remisión para preocupaciones de PGI; (b) un calendario de capacitaciones básicas para voluntarios y personal de operaciones sobre cómo ofrecer remisiones de apoyo y brindar una buena respuesta a las preocupaciones de protección reportadas</w:t>
      </w:r>
      <w:r w:rsidR="0031140F" w:rsidRPr="00D55627">
        <w:rPr>
          <w:sz w:val="20"/>
          <w:szCs w:val="20"/>
          <w:lang w:val="es-419"/>
        </w:rPr>
        <w:t>.</w:t>
      </w:r>
    </w:p>
    <w:p w14:paraId="498D3EAA" w14:textId="2F41734C" w:rsidR="0031140F" w:rsidRPr="00D55627" w:rsidRDefault="0031140F" w:rsidP="003C36BC">
      <w:pPr>
        <w:jc w:val="both"/>
        <w:rPr>
          <w:sz w:val="20"/>
          <w:szCs w:val="20"/>
          <w:lang w:val="es-419"/>
        </w:rPr>
      </w:pPr>
    </w:p>
    <w:p w14:paraId="7CF0EC18" w14:textId="0C33E6A3" w:rsidR="0031140F" w:rsidRPr="00D55627" w:rsidRDefault="0001696A" w:rsidP="003C36BC">
      <w:pPr>
        <w:pStyle w:val="ListParagraph"/>
        <w:numPr>
          <w:ilvl w:val="0"/>
          <w:numId w:val="5"/>
        </w:numPr>
        <w:jc w:val="both"/>
        <w:rPr>
          <w:sz w:val="20"/>
          <w:szCs w:val="20"/>
          <w:lang w:val="es-419"/>
        </w:rPr>
      </w:pPr>
      <w:r w:rsidRPr="0001696A">
        <w:rPr>
          <w:sz w:val="20"/>
          <w:szCs w:val="20"/>
          <w:lang w:val="es-419"/>
        </w:rPr>
        <w:t>Monitoree continuamente cómo se está integrando la PGI (ver el Capítulo 4 Monitoreo y Evaluación), y consulte de nuevo las Normas Mínimas</w:t>
      </w:r>
      <w:r w:rsidR="0031140F" w:rsidRPr="00D55627">
        <w:rPr>
          <w:sz w:val="20"/>
          <w:szCs w:val="20"/>
          <w:lang w:val="es-419"/>
        </w:rPr>
        <w:t>.</w:t>
      </w:r>
    </w:p>
    <w:p w14:paraId="3D4095CE" w14:textId="5A3E4B5C" w:rsidR="00DF2CFF" w:rsidRDefault="00DF2CFF" w:rsidP="003C36BC">
      <w:pPr>
        <w:pStyle w:val="ListParagraph"/>
        <w:jc w:val="both"/>
        <w:rPr>
          <w:sz w:val="20"/>
          <w:szCs w:val="20"/>
          <w:lang w:val="es-419"/>
        </w:rPr>
      </w:pPr>
    </w:p>
    <w:p w14:paraId="22DDEAA8" w14:textId="77777777" w:rsidR="0001696A" w:rsidRPr="00D55627" w:rsidRDefault="0001696A" w:rsidP="003C36BC">
      <w:pPr>
        <w:pStyle w:val="ListParagraph"/>
        <w:jc w:val="both"/>
        <w:rPr>
          <w:sz w:val="20"/>
          <w:szCs w:val="20"/>
          <w:lang w:val="es-419"/>
        </w:rPr>
      </w:pPr>
    </w:p>
    <w:p w14:paraId="65935019" w14:textId="28161D48" w:rsidR="00DF2CFF" w:rsidRPr="00D55627" w:rsidRDefault="00DF2CFF" w:rsidP="00DF2CFF">
      <w:pPr>
        <w:pStyle w:val="ListParagraph"/>
        <w:rPr>
          <w:sz w:val="20"/>
          <w:szCs w:val="20"/>
          <w:lang w:val="es-419"/>
        </w:rPr>
      </w:pPr>
    </w:p>
    <w:p w14:paraId="1DB4470A" w14:textId="6A376692" w:rsidR="00DF2CFF" w:rsidRPr="00D55627" w:rsidRDefault="00DF2CFF" w:rsidP="00DF2CFF">
      <w:pPr>
        <w:pStyle w:val="ListParagraph"/>
        <w:rPr>
          <w:sz w:val="20"/>
          <w:szCs w:val="20"/>
          <w:lang w:val="es-419"/>
        </w:rPr>
      </w:pPr>
      <w:r w:rsidRPr="00D55627">
        <w:rPr>
          <w:noProof/>
          <w:sz w:val="20"/>
          <w:szCs w:val="20"/>
          <w:lang w:val="es-419"/>
        </w:rPr>
        <mc:AlternateContent>
          <mc:Choice Requires="wps">
            <w:drawing>
              <wp:anchor distT="0" distB="0" distL="114300" distR="114300" simplePos="0" relativeHeight="251659264" behindDoc="0" locked="0" layoutInCell="1" allowOverlap="1" wp14:anchorId="6A66E0EE" wp14:editId="4C32D605">
                <wp:simplePos x="0" y="0"/>
                <wp:positionH relativeFrom="column">
                  <wp:posOffset>28574</wp:posOffset>
                </wp:positionH>
                <wp:positionV relativeFrom="paragraph">
                  <wp:posOffset>-28575</wp:posOffset>
                </wp:positionV>
                <wp:extent cx="6067425" cy="5953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067425" cy="5953125"/>
                        </a:xfrm>
                        <a:prstGeom prst="rect">
                          <a:avLst/>
                        </a:prstGeom>
                        <a:solidFill>
                          <a:schemeClr val="lt1"/>
                        </a:solidFill>
                        <a:ln w="6350">
                          <a:solidFill>
                            <a:prstClr val="black"/>
                          </a:solidFill>
                        </a:ln>
                      </wps:spPr>
                      <wps:txbx>
                        <w:txbxContent>
                          <w:p w14:paraId="4D5EE2D6" w14:textId="7839E63D" w:rsidR="00DF2CFF" w:rsidRPr="002C6F05" w:rsidRDefault="002C6F05">
                            <w:pPr>
                              <w:rPr>
                                <w:b/>
                                <w:bCs/>
                                <w:lang w:val="es-419"/>
                              </w:rPr>
                            </w:pPr>
                            <w:r w:rsidRPr="002C6F05">
                              <w:rPr>
                                <w:b/>
                                <w:bCs/>
                                <w:lang w:val="es-419"/>
                              </w:rPr>
                              <w:t>Orientación adicional</w:t>
                            </w:r>
                            <w:r w:rsidR="00401C99">
                              <w:rPr>
                                <w:b/>
                                <w:bCs/>
                                <w:lang w:val="es-419"/>
                              </w:rPr>
                              <w:t xml:space="preserve"> </w:t>
                            </w:r>
                            <w:r w:rsidRPr="002C6F05">
                              <w:rPr>
                                <w:b/>
                                <w:bCs/>
                                <w:lang w:val="es-419"/>
                              </w:rPr>
                              <w:t xml:space="preserve">de la Cruz Roja y la </w:t>
                            </w:r>
                            <w:proofErr w:type="gramStart"/>
                            <w:r w:rsidRPr="002C6F05">
                              <w:rPr>
                                <w:b/>
                                <w:bCs/>
                                <w:lang w:val="es-419"/>
                              </w:rPr>
                              <w:t>Media Luna</w:t>
                            </w:r>
                            <w:proofErr w:type="gramEnd"/>
                            <w:r w:rsidRPr="002C6F05">
                              <w:rPr>
                                <w:b/>
                                <w:bCs/>
                                <w:lang w:val="es-419"/>
                              </w:rPr>
                              <w:t xml:space="preserve"> Roja para la transversalización de la PGI</w:t>
                            </w:r>
                            <w:r w:rsidR="00401C99" w:rsidRPr="00401C99">
                              <w:rPr>
                                <w:b/>
                                <w:bCs/>
                                <w:lang w:val="es-419"/>
                              </w:rPr>
                              <w:t>, específica al sector</w:t>
                            </w:r>
                          </w:p>
                          <w:p w14:paraId="08476EA4" w14:textId="376C443F" w:rsidR="00934959" w:rsidRPr="002C6F05" w:rsidRDefault="00934959">
                            <w:pPr>
                              <w:rPr>
                                <w:lang w:val="es-419"/>
                              </w:rPr>
                            </w:pPr>
                          </w:p>
                          <w:p w14:paraId="0D7768B6" w14:textId="35B00246" w:rsidR="00FB54AD" w:rsidRPr="002C6F05" w:rsidRDefault="002C6F05">
                            <w:pPr>
                              <w:rPr>
                                <w:b/>
                                <w:bCs/>
                                <w:lang w:val="es-419"/>
                              </w:rPr>
                            </w:pPr>
                            <w:r>
                              <w:rPr>
                                <w:b/>
                                <w:bCs/>
                                <w:lang w:val="es-419"/>
                              </w:rPr>
                              <w:t>Gestión de Desastres</w:t>
                            </w:r>
                          </w:p>
                          <w:p w14:paraId="3C686F55" w14:textId="3BC24853" w:rsidR="00F13A88" w:rsidRPr="002C6F05" w:rsidRDefault="001F5948" w:rsidP="00F13A88">
                            <w:pPr>
                              <w:pStyle w:val="ListParagraph"/>
                              <w:numPr>
                                <w:ilvl w:val="0"/>
                                <w:numId w:val="7"/>
                              </w:numPr>
                              <w:rPr>
                                <w:lang w:val="es-419"/>
                              </w:rPr>
                            </w:pPr>
                            <w:r w:rsidRPr="001F5948">
                              <w:rPr>
                                <w:lang w:val="es-419"/>
                              </w:rPr>
                              <w:t>Cruz Roja Australiana: Nota de Orientación para la Inclusión con respecto a la Discapacidad y la Gestión de Desastres</w:t>
                            </w:r>
                            <w:r w:rsidR="00527D5F" w:rsidRPr="002C6F05">
                              <w:rPr>
                                <w:lang w:val="es-419"/>
                              </w:rPr>
                              <w:t xml:space="preserve"> (</w:t>
                            </w:r>
                            <w:hyperlink r:id="rId5" w:history="1">
                              <w:r w:rsidR="000C6868" w:rsidRPr="002C6F05">
                                <w:rPr>
                                  <w:rStyle w:val="Hyperlink"/>
                                  <w:lang w:val="es-419"/>
                                </w:rPr>
                                <w:t>2015</w:t>
                              </w:r>
                            </w:hyperlink>
                            <w:r w:rsidR="000C6868" w:rsidRPr="002C6F05">
                              <w:rPr>
                                <w:lang w:val="es-419"/>
                              </w:rPr>
                              <w:t>)</w:t>
                            </w:r>
                          </w:p>
                          <w:p w14:paraId="6AFB7D2F" w14:textId="41B8842E" w:rsidR="00C65083" w:rsidRPr="002C6F05" w:rsidRDefault="001F5948" w:rsidP="00F13A88">
                            <w:pPr>
                              <w:pStyle w:val="ListParagraph"/>
                              <w:numPr>
                                <w:ilvl w:val="0"/>
                                <w:numId w:val="7"/>
                              </w:numPr>
                              <w:rPr>
                                <w:lang w:val="es-419"/>
                              </w:rPr>
                            </w:pPr>
                            <w:r w:rsidRPr="001F5948">
                              <w:rPr>
                                <w:lang w:val="es-419"/>
                              </w:rPr>
                              <w:t>Cruz Roja Australiana:</w:t>
                            </w:r>
                            <w:r w:rsidR="00C65083" w:rsidRPr="002C6F05">
                              <w:rPr>
                                <w:lang w:val="es-419"/>
                              </w:rPr>
                              <w:t xml:space="preserve"> </w:t>
                            </w:r>
                            <w:r w:rsidRPr="001F5948">
                              <w:rPr>
                                <w:lang w:val="es-419"/>
                              </w:rPr>
                              <w:t>Hoja Informativa sobre Género y Gestión de Desastres</w:t>
                            </w:r>
                            <w:r w:rsidR="00C65083" w:rsidRPr="002C6F05">
                              <w:rPr>
                                <w:lang w:val="es-419"/>
                              </w:rPr>
                              <w:t xml:space="preserve"> (</w:t>
                            </w:r>
                            <w:hyperlink r:id="rId6" w:history="1">
                              <w:r w:rsidR="00C65083" w:rsidRPr="002C6F05">
                                <w:rPr>
                                  <w:rStyle w:val="Hyperlink"/>
                                  <w:lang w:val="es-419"/>
                                </w:rPr>
                                <w:t>2011</w:t>
                              </w:r>
                            </w:hyperlink>
                            <w:r w:rsidR="00C65083" w:rsidRPr="002C6F05">
                              <w:rPr>
                                <w:lang w:val="es-419"/>
                              </w:rPr>
                              <w:t>)</w:t>
                            </w:r>
                          </w:p>
                          <w:p w14:paraId="303B6581" w14:textId="77777777" w:rsidR="00E25CE2" w:rsidRPr="002C6F05" w:rsidRDefault="00E25CE2" w:rsidP="00E25CE2">
                            <w:pPr>
                              <w:pStyle w:val="ListParagraph"/>
                              <w:rPr>
                                <w:lang w:val="es-419"/>
                              </w:rPr>
                            </w:pPr>
                          </w:p>
                          <w:p w14:paraId="389547FF" w14:textId="77777777" w:rsidR="00FB54AD" w:rsidRPr="002C6F05" w:rsidRDefault="00FB54AD">
                            <w:pPr>
                              <w:rPr>
                                <w:lang w:val="es-419"/>
                              </w:rPr>
                            </w:pPr>
                          </w:p>
                          <w:p w14:paraId="4F830758" w14:textId="468BDDDD" w:rsidR="00934959" w:rsidRPr="002C6F05" w:rsidRDefault="00430F0E">
                            <w:pPr>
                              <w:rPr>
                                <w:b/>
                                <w:bCs/>
                                <w:lang w:val="es-419"/>
                              </w:rPr>
                            </w:pPr>
                            <w:r w:rsidRPr="002C6F05">
                              <w:rPr>
                                <w:b/>
                                <w:bCs/>
                                <w:lang w:val="es-419"/>
                              </w:rPr>
                              <w:t xml:space="preserve">WASH </w:t>
                            </w:r>
                            <w:r w:rsidR="002C6F05">
                              <w:rPr>
                                <w:b/>
                                <w:bCs/>
                                <w:lang w:val="es-419"/>
                              </w:rPr>
                              <w:t xml:space="preserve">y </w:t>
                            </w:r>
                            <w:r w:rsidR="001F5948">
                              <w:rPr>
                                <w:b/>
                                <w:bCs/>
                                <w:lang w:val="es-419"/>
                              </w:rPr>
                              <w:t>Manejo</w:t>
                            </w:r>
                            <w:r w:rsidR="002C6F05">
                              <w:rPr>
                                <w:b/>
                                <w:bCs/>
                                <w:lang w:val="es-419"/>
                              </w:rPr>
                              <w:t xml:space="preserve"> de la Higiene </w:t>
                            </w:r>
                            <w:r w:rsidR="00C222E2" w:rsidRPr="002C6F05">
                              <w:rPr>
                                <w:b/>
                                <w:bCs/>
                                <w:lang w:val="es-419"/>
                              </w:rPr>
                              <w:t>M</w:t>
                            </w:r>
                            <w:r w:rsidRPr="002C6F05">
                              <w:rPr>
                                <w:b/>
                                <w:bCs/>
                                <w:lang w:val="es-419"/>
                              </w:rPr>
                              <w:t>enstrual</w:t>
                            </w:r>
                          </w:p>
                          <w:p w14:paraId="36E467D8" w14:textId="7370A2B5" w:rsidR="008953ED" w:rsidRPr="002C6F05" w:rsidRDefault="008953ED">
                            <w:pPr>
                              <w:rPr>
                                <w:lang w:val="es-419"/>
                              </w:rPr>
                            </w:pPr>
                          </w:p>
                          <w:p w14:paraId="431EE068" w14:textId="6DA7DDE3" w:rsidR="008953ED" w:rsidRPr="002C6F05" w:rsidRDefault="001F5948" w:rsidP="00DC3682">
                            <w:pPr>
                              <w:pStyle w:val="ListParagraph"/>
                              <w:numPr>
                                <w:ilvl w:val="0"/>
                                <w:numId w:val="6"/>
                              </w:numPr>
                              <w:rPr>
                                <w:lang w:val="es-419"/>
                              </w:rPr>
                            </w:pPr>
                            <w:r>
                              <w:rPr>
                                <w:lang w:val="es-419"/>
                              </w:rPr>
                              <w:t>FICR:</w:t>
                            </w:r>
                            <w:r w:rsidR="00EC70A9" w:rsidRPr="002C6F05">
                              <w:rPr>
                                <w:lang w:val="es-419"/>
                              </w:rPr>
                              <w:t xml:space="preserve"> </w:t>
                            </w:r>
                            <w:r w:rsidR="00612A03" w:rsidRPr="00612A03">
                              <w:rPr>
                                <w:lang w:val="es-419"/>
                              </w:rPr>
                              <w:t>Abordaje de las necesidades de manejo de la higiene menstrual (MHM). Guía y Herramientas para las Sociedades de la Cruz Roja y de la Media Luna Roja</w:t>
                            </w:r>
                            <w:r w:rsidR="00FD22C5" w:rsidRPr="002C6F05">
                              <w:rPr>
                                <w:lang w:val="es-419"/>
                              </w:rPr>
                              <w:t xml:space="preserve"> (</w:t>
                            </w:r>
                            <w:hyperlink r:id="rId7" w:history="1">
                              <w:r w:rsidR="00FD22C5" w:rsidRPr="002C6F05">
                                <w:rPr>
                                  <w:rStyle w:val="Hyperlink"/>
                                  <w:lang w:val="es-419"/>
                                </w:rPr>
                                <w:t>2019</w:t>
                              </w:r>
                            </w:hyperlink>
                            <w:r w:rsidR="00FD22C5" w:rsidRPr="002C6F05">
                              <w:rPr>
                                <w:lang w:val="es-419"/>
                              </w:rPr>
                              <w:t>)</w:t>
                            </w:r>
                          </w:p>
                          <w:p w14:paraId="7E09572F" w14:textId="4762A5AD" w:rsidR="00E568BE" w:rsidRPr="002C6F05" w:rsidRDefault="00E568BE">
                            <w:pPr>
                              <w:rPr>
                                <w:lang w:val="es-419"/>
                              </w:rPr>
                            </w:pPr>
                          </w:p>
                          <w:p w14:paraId="2E7AC493" w14:textId="7A6A15A7" w:rsidR="00E568BE" w:rsidRPr="002C6F05" w:rsidRDefault="001F5948" w:rsidP="00DC3682">
                            <w:pPr>
                              <w:pStyle w:val="ListParagraph"/>
                              <w:numPr>
                                <w:ilvl w:val="0"/>
                                <w:numId w:val="6"/>
                              </w:numPr>
                              <w:rPr>
                                <w:lang w:val="es-419"/>
                              </w:rPr>
                            </w:pPr>
                            <w:r>
                              <w:rPr>
                                <w:lang w:val="es-419"/>
                              </w:rPr>
                              <w:t>FICR:</w:t>
                            </w:r>
                            <w:r w:rsidR="00EC70A9" w:rsidRPr="002C6F05">
                              <w:rPr>
                                <w:lang w:val="es-419"/>
                              </w:rPr>
                              <w:t xml:space="preserve"> </w:t>
                            </w:r>
                            <w:r w:rsidR="00612A03" w:rsidRPr="00612A03">
                              <w:rPr>
                                <w:lang w:val="es-419"/>
                              </w:rPr>
                              <w:t>Materiales y herramientas de información y educación sobre MHM</w:t>
                            </w:r>
                            <w:r w:rsidR="005867E9" w:rsidRPr="002C6F05">
                              <w:rPr>
                                <w:lang w:val="es-419"/>
                              </w:rPr>
                              <w:t xml:space="preserve"> (</w:t>
                            </w:r>
                            <w:hyperlink r:id="rId8" w:history="1">
                              <w:r w:rsidR="005867E9" w:rsidRPr="002C6F05">
                                <w:rPr>
                                  <w:rStyle w:val="Hyperlink"/>
                                  <w:lang w:val="es-419"/>
                                </w:rPr>
                                <w:t>2019</w:t>
                              </w:r>
                            </w:hyperlink>
                            <w:r w:rsidR="005867E9" w:rsidRPr="002C6F05">
                              <w:rPr>
                                <w:lang w:val="es-419"/>
                              </w:rPr>
                              <w:t>)</w:t>
                            </w:r>
                          </w:p>
                          <w:p w14:paraId="01B36530" w14:textId="5A3D9038" w:rsidR="005E7D51" w:rsidRPr="00ED23BF" w:rsidRDefault="005E7D51">
                            <w:pPr>
                              <w:rPr>
                                <w:lang w:val="es-419"/>
                              </w:rPr>
                            </w:pPr>
                          </w:p>
                          <w:p w14:paraId="06D28D84" w14:textId="5E3DB444" w:rsidR="005E7D51" w:rsidRPr="00ED23BF" w:rsidRDefault="001F5948" w:rsidP="00DC3682">
                            <w:pPr>
                              <w:pStyle w:val="ListParagraph"/>
                              <w:numPr>
                                <w:ilvl w:val="0"/>
                                <w:numId w:val="6"/>
                              </w:numPr>
                              <w:rPr>
                                <w:lang w:val="es-419"/>
                              </w:rPr>
                            </w:pPr>
                            <w:r w:rsidRPr="00ED23BF">
                              <w:rPr>
                                <w:lang w:val="es-419"/>
                              </w:rPr>
                              <w:t>FICR:</w:t>
                            </w:r>
                            <w:r w:rsidR="00F13A88" w:rsidRPr="00ED23BF">
                              <w:rPr>
                                <w:lang w:val="es-419"/>
                              </w:rPr>
                              <w:t xml:space="preserve"> </w:t>
                            </w:r>
                            <w:r w:rsidR="00612A03" w:rsidRPr="00ED23BF">
                              <w:rPr>
                                <w:lang w:val="es-419"/>
                              </w:rPr>
                              <w:t>Kit de herramientas de manejo de la higiene menstrual (MHM) en emergencias</w:t>
                            </w:r>
                            <w:r w:rsidR="005E7D51" w:rsidRPr="00ED23BF">
                              <w:rPr>
                                <w:lang w:val="es-419"/>
                              </w:rPr>
                              <w:t xml:space="preserve"> (</w:t>
                            </w:r>
                            <w:hyperlink r:id="rId9" w:history="1">
                              <w:r w:rsidR="005E7D51" w:rsidRPr="00ED23BF">
                                <w:rPr>
                                  <w:rStyle w:val="Hyperlink"/>
                                  <w:lang w:val="es-419"/>
                                </w:rPr>
                                <w:t>2017</w:t>
                              </w:r>
                            </w:hyperlink>
                            <w:r w:rsidR="005E7D51" w:rsidRPr="00ED23BF">
                              <w:rPr>
                                <w:lang w:val="es-419"/>
                              </w:rPr>
                              <w:t>)</w:t>
                            </w:r>
                          </w:p>
                          <w:p w14:paraId="2403D8D2" w14:textId="77777777" w:rsidR="00E95790" w:rsidRPr="00ED23BF" w:rsidRDefault="00E95790" w:rsidP="00E95790">
                            <w:pPr>
                              <w:pStyle w:val="ListParagraph"/>
                              <w:rPr>
                                <w:lang w:val="es-419"/>
                              </w:rPr>
                            </w:pPr>
                          </w:p>
                          <w:p w14:paraId="3666E249" w14:textId="08CDCAAE" w:rsidR="00E95790" w:rsidRPr="00ED23BF" w:rsidRDefault="001F5948" w:rsidP="00DC3682">
                            <w:pPr>
                              <w:pStyle w:val="ListParagraph"/>
                              <w:numPr>
                                <w:ilvl w:val="0"/>
                                <w:numId w:val="6"/>
                              </w:numPr>
                              <w:rPr>
                                <w:lang w:val="es-419"/>
                              </w:rPr>
                            </w:pPr>
                            <w:r w:rsidRPr="00ED23BF">
                              <w:rPr>
                                <w:lang w:val="es-419"/>
                              </w:rPr>
                              <w:t>Cruz Roja Australiana: Hoja Informativa sobre</w:t>
                            </w:r>
                            <w:r w:rsidR="00E95790" w:rsidRPr="00ED23BF">
                              <w:rPr>
                                <w:lang w:val="es-419"/>
                              </w:rPr>
                              <w:t xml:space="preserve"> </w:t>
                            </w:r>
                            <w:r w:rsidR="005700B4" w:rsidRPr="00ED23BF">
                              <w:rPr>
                                <w:lang w:val="es-419"/>
                              </w:rPr>
                              <w:t>G</w:t>
                            </w:r>
                            <w:r w:rsidR="00612A03" w:rsidRPr="00ED23BF">
                              <w:rPr>
                                <w:lang w:val="es-419"/>
                              </w:rPr>
                              <w:t>énero y Agua y Saneamiento</w:t>
                            </w:r>
                            <w:r w:rsidR="005700B4" w:rsidRPr="00ED23BF">
                              <w:rPr>
                                <w:lang w:val="es-419"/>
                              </w:rPr>
                              <w:t xml:space="preserve"> (</w:t>
                            </w:r>
                            <w:hyperlink r:id="rId10" w:history="1">
                              <w:r w:rsidR="005700B4" w:rsidRPr="00ED23BF">
                                <w:rPr>
                                  <w:rStyle w:val="Hyperlink"/>
                                  <w:lang w:val="es-419"/>
                                </w:rPr>
                                <w:t>2011</w:t>
                              </w:r>
                            </w:hyperlink>
                            <w:r w:rsidR="005700B4" w:rsidRPr="00ED23BF">
                              <w:rPr>
                                <w:lang w:val="es-419"/>
                              </w:rPr>
                              <w:t>)</w:t>
                            </w:r>
                          </w:p>
                          <w:p w14:paraId="7744F996" w14:textId="2C27F17F" w:rsidR="00430F0E" w:rsidRPr="00ED23BF" w:rsidRDefault="00430F0E">
                            <w:pPr>
                              <w:rPr>
                                <w:lang w:val="es-419"/>
                              </w:rPr>
                            </w:pPr>
                          </w:p>
                          <w:p w14:paraId="13684E4F" w14:textId="2390F6E1" w:rsidR="00430F0E" w:rsidRPr="00ED23BF" w:rsidRDefault="00430F0E">
                            <w:pPr>
                              <w:rPr>
                                <w:lang w:val="es-419"/>
                              </w:rPr>
                            </w:pPr>
                          </w:p>
                          <w:p w14:paraId="0B5BE8D6" w14:textId="2EB99C1C" w:rsidR="00430F0E" w:rsidRPr="00ED23BF" w:rsidRDefault="002C6F05">
                            <w:pPr>
                              <w:rPr>
                                <w:b/>
                                <w:bCs/>
                                <w:lang w:val="es-419"/>
                              </w:rPr>
                            </w:pPr>
                            <w:r w:rsidRPr="00ED23BF">
                              <w:rPr>
                                <w:b/>
                                <w:bCs/>
                                <w:lang w:val="es-419"/>
                              </w:rPr>
                              <w:t>Alojamiento</w:t>
                            </w:r>
                          </w:p>
                          <w:p w14:paraId="79475E9D" w14:textId="61A76BF7" w:rsidR="00425103" w:rsidRPr="00ED23BF" w:rsidRDefault="001F5948" w:rsidP="00545D85">
                            <w:pPr>
                              <w:pStyle w:val="ListParagraph"/>
                              <w:numPr>
                                <w:ilvl w:val="0"/>
                                <w:numId w:val="8"/>
                              </w:numPr>
                              <w:rPr>
                                <w:lang w:val="es-419"/>
                              </w:rPr>
                            </w:pPr>
                            <w:r w:rsidRPr="00ED23BF">
                              <w:rPr>
                                <w:lang w:val="es-419"/>
                              </w:rPr>
                              <w:t>FICR:</w:t>
                            </w:r>
                            <w:r w:rsidR="00C72C10" w:rsidRPr="00ED23BF">
                              <w:rPr>
                                <w:lang w:val="es-419"/>
                              </w:rPr>
                              <w:t xml:space="preserve"> </w:t>
                            </w:r>
                            <w:r w:rsidR="00612A03" w:rsidRPr="00ED23BF">
                              <w:rPr>
                                <w:lang w:val="es-419"/>
                              </w:rPr>
                              <w:t>Todas las personas</w:t>
                            </w:r>
                            <w:r w:rsidR="00ED23BF">
                              <w:rPr>
                                <w:lang w:val="es-419"/>
                              </w:rPr>
                              <w:t xml:space="preserve"> </w:t>
                            </w:r>
                            <w:r w:rsidR="00612A03" w:rsidRPr="00ED23BF">
                              <w:rPr>
                                <w:lang w:val="es-419"/>
                              </w:rPr>
                              <w:t>bajo un mismo techo</w:t>
                            </w:r>
                            <w:r w:rsidR="00C72C10" w:rsidRPr="00ED23BF">
                              <w:rPr>
                                <w:lang w:val="es-419"/>
                              </w:rPr>
                              <w:t xml:space="preserve">. </w:t>
                            </w:r>
                            <w:r w:rsidR="00612A03" w:rsidRPr="00ED23BF">
                              <w:rPr>
                                <w:lang w:val="es-419"/>
                              </w:rPr>
                              <w:t>Alojamientos y asentamientos de</w:t>
                            </w:r>
                            <w:r w:rsidR="00ED23BF" w:rsidRPr="00ED23BF">
                              <w:rPr>
                                <w:lang w:val="es-419"/>
                              </w:rPr>
                              <w:t xml:space="preserve"> </w:t>
                            </w:r>
                            <w:r w:rsidR="00612A03" w:rsidRPr="00ED23BF">
                              <w:rPr>
                                <w:lang w:val="es-419"/>
                              </w:rPr>
                              <w:t>emergencia inclusivos</w:t>
                            </w:r>
                            <w:r w:rsidR="00ED23BF" w:rsidRPr="00ED23BF">
                              <w:rPr>
                                <w:lang w:val="es-419"/>
                              </w:rPr>
                              <w:t xml:space="preserve"> </w:t>
                            </w:r>
                            <w:r w:rsidR="00612A03" w:rsidRPr="00ED23BF">
                              <w:rPr>
                                <w:lang w:val="es-419"/>
                              </w:rPr>
                              <w:t>con respecto a la discapacidad</w:t>
                            </w:r>
                            <w:r w:rsidR="002009A0" w:rsidRPr="00ED23BF">
                              <w:rPr>
                                <w:lang w:val="es-419"/>
                              </w:rPr>
                              <w:t xml:space="preserve"> (</w:t>
                            </w:r>
                            <w:hyperlink r:id="rId11" w:history="1">
                              <w:r w:rsidR="002009A0" w:rsidRPr="00ED23BF">
                                <w:rPr>
                                  <w:rStyle w:val="Hyperlink"/>
                                  <w:lang w:val="es-419"/>
                                </w:rPr>
                                <w:t>201</w:t>
                              </w:r>
                              <w:r w:rsidR="000611E8" w:rsidRPr="00ED23BF">
                                <w:rPr>
                                  <w:rStyle w:val="Hyperlink"/>
                                  <w:lang w:val="es-419"/>
                                </w:rPr>
                                <w:t>5</w:t>
                              </w:r>
                            </w:hyperlink>
                            <w:r w:rsidR="002009A0" w:rsidRPr="00ED23BF">
                              <w:rPr>
                                <w:lang w:val="es-419"/>
                              </w:rPr>
                              <w:t>)</w:t>
                            </w:r>
                          </w:p>
                          <w:p w14:paraId="3424D2F8" w14:textId="22DCC2BA" w:rsidR="00430F0E" w:rsidRPr="00ED23BF" w:rsidRDefault="001F5948" w:rsidP="00545D85">
                            <w:pPr>
                              <w:pStyle w:val="ListParagraph"/>
                              <w:numPr>
                                <w:ilvl w:val="0"/>
                                <w:numId w:val="8"/>
                              </w:numPr>
                              <w:rPr>
                                <w:lang w:val="es-419"/>
                              </w:rPr>
                            </w:pPr>
                            <w:r w:rsidRPr="00ED23BF">
                              <w:rPr>
                                <w:lang w:val="es-419"/>
                              </w:rPr>
                              <w:t>Cruz Roja Australiana:</w:t>
                            </w:r>
                            <w:r w:rsidR="00545D85" w:rsidRPr="00ED23BF">
                              <w:rPr>
                                <w:lang w:val="es-419"/>
                              </w:rPr>
                              <w:t xml:space="preserve"> </w:t>
                            </w:r>
                            <w:r w:rsidR="00ED23BF" w:rsidRPr="00ED23BF">
                              <w:rPr>
                                <w:lang w:val="es-419"/>
                              </w:rPr>
                              <w:t>Nota de Orientación sobre Género y Alojamiento</w:t>
                            </w:r>
                            <w:r w:rsidR="00545D85" w:rsidRPr="00ED23BF">
                              <w:rPr>
                                <w:lang w:val="es-419"/>
                              </w:rPr>
                              <w:t xml:space="preserve"> (</w:t>
                            </w:r>
                            <w:hyperlink r:id="rId12" w:history="1">
                              <w:r w:rsidR="00545D85" w:rsidRPr="00ED23BF">
                                <w:rPr>
                                  <w:rStyle w:val="Hyperlink"/>
                                  <w:lang w:val="es-419"/>
                                </w:rPr>
                                <w:t>2011</w:t>
                              </w:r>
                            </w:hyperlink>
                            <w:r w:rsidR="00545D85" w:rsidRPr="00ED23BF">
                              <w:rPr>
                                <w:lang w:val="es-419"/>
                              </w:rPr>
                              <w:t>)</w:t>
                            </w:r>
                          </w:p>
                          <w:p w14:paraId="34B57309" w14:textId="6D16F54C" w:rsidR="00430F0E" w:rsidRPr="00ED23BF" w:rsidRDefault="00430F0E">
                            <w:pPr>
                              <w:rPr>
                                <w:lang w:val="es-419"/>
                              </w:rPr>
                            </w:pPr>
                          </w:p>
                          <w:p w14:paraId="24CD4651" w14:textId="77777777" w:rsidR="00BA3344" w:rsidRPr="00ED23BF" w:rsidRDefault="00BA3344">
                            <w:pPr>
                              <w:rPr>
                                <w:lang w:val="es-419"/>
                              </w:rPr>
                            </w:pPr>
                          </w:p>
                          <w:p w14:paraId="2D83745E" w14:textId="1708D5D4" w:rsidR="00430F0E" w:rsidRPr="00ED23BF" w:rsidRDefault="002C6F05">
                            <w:pPr>
                              <w:rPr>
                                <w:b/>
                                <w:bCs/>
                                <w:lang w:val="es-419"/>
                              </w:rPr>
                            </w:pPr>
                            <w:r w:rsidRPr="00ED23BF">
                              <w:rPr>
                                <w:b/>
                                <w:bCs/>
                                <w:lang w:val="es-419"/>
                              </w:rPr>
                              <w:t>Medios de Vida</w:t>
                            </w:r>
                          </w:p>
                          <w:p w14:paraId="659F2D1C" w14:textId="416A0795" w:rsidR="00E64D01" w:rsidRPr="00ED23BF" w:rsidRDefault="001F5948" w:rsidP="00E64D01">
                            <w:pPr>
                              <w:pStyle w:val="ListParagraph"/>
                              <w:numPr>
                                <w:ilvl w:val="0"/>
                                <w:numId w:val="9"/>
                              </w:numPr>
                              <w:rPr>
                                <w:lang w:val="es-419"/>
                              </w:rPr>
                            </w:pPr>
                            <w:r w:rsidRPr="00ED23BF">
                              <w:rPr>
                                <w:lang w:val="es-419"/>
                              </w:rPr>
                              <w:t>FICR:</w:t>
                            </w:r>
                            <w:r w:rsidR="00E64D01" w:rsidRPr="00ED23BF">
                              <w:rPr>
                                <w:lang w:val="es-419"/>
                              </w:rPr>
                              <w:t xml:space="preserve"> </w:t>
                            </w:r>
                            <w:r w:rsidR="00ED23BF" w:rsidRPr="00ED23BF">
                              <w:rPr>
                                <w:lang w:val="es-419"/>
                              </w:rPr>
                              <w:t xml:space="preserve">Nota de orientación sobre género y diversidad en la seguridad alimentaria y en la programación de medios de vida </w:t>
                            </w:r>
                            <w:r w:rsidR="00E64D01" w:rsidRPr="00ED23BF">
                              <w:rPr>
                                <w:lang w:val="es-419"/>
                              </w:rPr>
                              <w:t>(</w:t>
                            </w:r>
                            <w:hyperlink r:id="rId13" w:history="1">
                              <w:r w:rsidR="00C222E2" w:rsidRPr="00ED23BF">
                                <w:rPr>
                                  <w:rStyle w:val="Hyperlink"/>
                                  <w:lang w:val="es-419"/>
                                </w:rPr>
                                <w:t>2014</w:t>
                              </w:r>
                            </w:hyperlink>
                            <w:r w:rsidR="00C222E2" w:rsidRPr="00ED23BF">
                              <w:rPr>
                                <w:lang w:val="es-4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6E0EE" id="_x0000_t202" coordsize="21600,21600" o:spt="202" path="m,l,21600r21600,l21600,xe">
                <v:stroke joinstyle="miter"/>
                <v:path gradientshapeok="t" o:connecttype="rect"/>
              </v:shapetype>
              <v:shape id="Text Box 1" o:spid="_x0000_s1026" type="#_x0000_t202" style="position:absolute;left:0;text-align:left;margin-left:2.25pt;margin-top:-2.25pt;width:477.75pt;height:4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" fillcolor="white [3201]" strokeweight=".5pt">
                <v:textbox>
                  <w:txbxContent>
                    <w:p w14:paraId="4D5EE2D6" w14:textId="7839E63D" w:rsidR="00DF2CFF" w:rsidRPr="002C6F05" w:rsidRDefault="002C6F05">
                      <w:pPr>
                        <w:rPr>
                          <w:b/>
                          <w:bCs/>
                          <w:lang w:val="es-419"/>
                        </w:rPr>
                      </w:pPr>
                      <w:r w:rsidRPr="002C6F05">
                        <w:rPr>
                          <w:b/>
                          <w:bCs/>
                          <w:lang w:val="es-419"/>
                        </w:rPr>
                        <w:t>Orientación adicional</w:t>
                      </w:r>
                      <w:r w:rsidR="00401C99">
                        <w:rPr>
                          <w:b/>
                          <w:bCs/>
                          <w:lang w:val="es-419"/>
                        </w:rPr>
                        <w:t xml:space="preserve"> </w:t>
                      </w:r>
                      <w:r w:rsidRPr="002C6F05">
                        <w:rPr>
                          <w:b/>
                          <w:bCs/>
                          <w:lang w:val="es-419"/>
                        </w:rPr>
                        <w:t xml:space="preserve">de la Cruz Roja y la </w:t>
                      </w:r>
                      <w:proofErr w:type="gramStart"/>
                      <w:r w:rsidRPr="002C6F05">
                        <w:rPr>
                          <w:b/>
                          <w:bCs/>
                          <w:lang w:val="es-419"/>
                        </w:rPr>
                        <w:t>Media Luna</w:t>
                      </w:r>
                      <w:proofErr w:type="gramEnd"/>
                      <w:r w:rsidRPr="002C6F05">
                        <w:rPr>
                          <w:b/>
                          <w:bCs/>
                          <w:lang w:val="es-419"/>
                        </w:rPr>
                        <w:t xml:space="preserve"> Roja para la transversalización de la PGI</w:t>
                      </w:r>
                      <w:r w:rsidR="00401C99" w:rsidRPr="00401C99">
                        <w:rPr>
                          <w:b/>
                          <w:bCs/>
                          <w:lang w:val="es-419"/>
                        </w:rPr>
                        <w:t>, específica al sector</w:t>
                      </w:r>
                    </w:p>
                    <w:p w14:paraId="08476EA4" w14:textId="376C443F" w:rsidR="00934959" w:rsidRPr="002C6F05" w:rsidRDefault="00934959">
                      <w:pPr>
                        <w:rPr>
                          <w:lang w:val="es-419"/>
                        </w:rPr>
                      </w:pPr>
                    </w:p>
                    <w:p w14:paraId="0D7768B6" w14:textId="35B00246" w:rsidR="00FB54AD" w:rsidRPr="002C6F05" w:rsidRDefault="002C6F05">
                      <w:pPr>
                        <w:rPr>
                          <w:b/>
                          <w:bCs/>
                          <w:lang w:val="es-419"/>
                        </w:rPr>
                      </w:pPr>
                      <w:r>
                        <w:rPr>
                          <w:b/>
                          <w:bCs/>
                          <w:lang w:val="es-419"/>
                        </w:rPr>
                        <w:t>Gestión de Desastres</w:t>
                      </w:r>
                    </w:p>
                    <w:p w14:paraId="3C686F55" w14:textId="3BC24853" w:rsidR="00F13A88" w:rsidRPr="002C6F05" w:rsidRDefault="001F5948" w:rsidP="00F13A88">
                      <w:pPr>
                        <w:pStyle w:val="ListParagraph"/>
                        <w:numPr>
                          <w:ilvl w:val="0"/>
                          <w:numId w:val="7"/>
                        </w:numPr>
                        <w:rPr>
                          <w:lang w:val="es-419"/>
                        </w:rPr>
                      </w:pPr>
                      <w:r w:rsidRPr="001F5948">
                        <w:rPr>
                          <w:lang w:val="es-419"/>
                        </w:rPr>
                        <w:t>Cruz Roja Australiana: Nota de Orientación para la Inclusión con respecto a la Discapacidad y la Gestión de Desastres</w:t>
                      </w:r>
                      <w:r w:rsidR="00527D5F" w:rsidRPr="002C6F05">
                        <w:rPr>
                          <w:lang w:val="es-419"/>
                        </w:rPr>
                        <w:t xml:space="preserve"> (</w:t>
                      </w:r>
                      <w:hyperlink r:id="rId14" w:history="1">
                        <w:r w:rsidR="000C6868" w:rsidRPr="002C6F05">
                          <w:rPr>
                            <w:rStyle w:val="Hyperlink"/>
                            <w:lang w:val="es-419"/>
                          </w:rPr>
                          <w:t>2015</w:t>
                        </w:r>
                      </w:hyperlink>
                      <w:r w:rsidR="000C6868" w:rsidRPr="002C6F05">
                        <w:rPr>
                          <w:lang w:val="es-419"/>
                        </w:rPr>
                        <w:t>)</w:t>
                      </w:r>
                    </w:p>
                    <w:p w14:paraId="6AFB7D2F" w14:textId="41B8842E" w:rsidR="00C65083" w:rsidRPr="002C6F05" w:rsidRDefault="001F5948" w:rsidP="00F13A88">
                      <w:pPr>
                        <w:pStyle w:val="ListParagraph"/>
                        <w:numPr>
                          <w:ilvl w:val="0"/>
                          <w:numId w:val="7"/>
                        </w:numPr>
                        <w:rPr>
                          <w:lang w:val="es-419"/>
                        </w:rPr>
                      </w:pPr>
                      <w:r w:rsidRPr="001F5948">
                        <w:rPr>
                          <w:lang w:val="es-419"/>
                        </w:rPr>
                        <w:t>Cruz Roja Australiana:</w:t>
                      </w:r>
                      <w:r w:rsidR="00C65083" w:rsidRPr="002C6F05">
                        <w:rPr>
                          <w:lang w:val="es-419"/>
                        </w:rPr>
                        <w:t xml:space="preserve"> </w:t>
                      </w:r>
                      <w:r w:rsidRPr="001F5948">
                        <w:rPr>
                          <w:lang w:val="es-419"/>
                        </w:rPr>
                        <w:t>Hoja Informativa sobre Género y Gestión de Desastres</w:t>
                      </w:r>
                      <w:r w:rsidR="00C65083" w:rsidRPr="002C6F05">
                        <w:rPr>
                          <w:lang w:val="es-419"/>
                        </w:rPr>
                        <w:t xml:space="preserve"> (</w:t>
                      </w:r>
                      <w:hyperlink r:id="rId15" w:history="1">
                        <w:r w:rsidR="00C65083" w:rsidRPr="002C6F05">
                          <w:rPr>
                            <w:rStyle w:val="Hyperlink"/>
                            <w:lang w:val="es-419"/>
                          </w:rPr>
                          <w:t>2011</w:t>
                        </w:r>
                      </w:hyperlink>
                      <w:r w:rsidR="00C65083" w:rsidRPr="002C6F05">
                        <w:rPr>
                          <w:lang w:val="es-419"/>
                        </w:rPr>
                        <w:t>)</w:t>
                      </w:r>
                    </w:p>
                    <w:p w14:paraId="303B6581" w14:textId="77777777" w:rsidR="00E25CE2" w:rsidRPr="002C6F05" w:rsidRDefault="00E25CE2" w:rsidP="00E25CE2">
                      <w:pPr>
                        <w:pStyle w:val="ListParagraph"/>
                        <w:rPr>
                          <w:lang w:val="es-419"/>
                        </w:rPr>
                      </w:pPr>
                    </w:p>
                    <w:p w14:paraId="389547FF" w14:textId="77777777" w:rsidR="00FB54AD" w:rsidRPr="002C6F05" w:rsidRDefault="00FB54AD">
                      <w:pPr>
                        <w:rPr>
                          <w:lang w:val="es-419"/>
                        </w:rPr>
                      </w:pPr>
                    </w:p>
                    <w:p w14:paraId="4F830758" w14:textId="468BDDDD" w:rsidR="00934959" w:rsidRPr="002C6F05" w:rsidRDefault="00430F0E">
                      <w:pPr>
                        <w:rPr>
                          <w:b/>
                          <w:bCs/>
                          <w:lang w:val="es-419"/>
                        </w:rPr>
                      </w:pPr>
                      <w:r w:rsidRPr="002C6F05">
                        <w:rPr>
                          <w:b/>
                          <w:bCs/>
                          <w:lang w:val="es-419"/>
                        </w:rPr>
                        <w:t xml:space="preserve">WASH </w:t>
                      </w:r>
                      <w:r w:rsidR="002C6F05">
                        <w:rPr>
                          <w:b/>
                          <w:bCs/>
                          <w:lang w:val="es-419"/>
                        </w:rPr>
                        <w:t xml:space="preserve">y </w:t>
                      </w:r>
                      <w:r w:rsidR="001F5948">
                        <w:rPr>
                          <w:b/>
                          <w:bCs/>
                          <w:lang w:val="es-419"/>
                        </w:rPr>
                        <w:t>Manejo</w:t>
                      </w:r>
                      <w:r w:rsidR="002C6F05">
                        <w:rPr>
                          <w:b/>
                          <w:bCs/>
                          <w:lang w:val="es-419"/>
                        </w:rPr>
                        <w:t xml:space="preserve"> de la Higiene </w:t>
                      </w:r>
                      <w:r w:rsidR="00C222E2" w:rsidRPr="002C6F05">
                        <w:rPr>
                          <w:b/>
                          <w:bCs/>
                          <w:lang w:val="es-419"/>
                        </w:rPr>
                        <w:t>M</w:t>
                      </w:r>
                      <w:r w:rsidRPr="002C6F05">
                        <w:rPr>
                          <w:b/>
                          <w:bCs/>
                          <w:lang w:val="es-419"/>
                        </w:rPr>
                        <w:t>enstrual</w:t>
                      </w:r>
                    </w:p>
                    <w:p w14:paraId="36E467D8" w14:textId="7370A2B5" w:rsidR="008953ED" w:rsidRPr="002C6F05" w:rsidRDefault="008953ED">
                      <w:pPr>
                        <w:rPr>
                          <w:lang w:val="es-419"/>
                        </w:rPr>
                      </w:pPr>
                    </w:p>
                    <w:p w14:paraId="431EE068" w14:textId="6DA7DDE3" w:rsidR="008953ED" w:rsidRPr="002C6F05" w:rsidRDefault="001F5948" w:rsidP="00DC3682">
                      <w:pPr>
                        <w:pStyle w:val="ListParagraph"/>
                        <w:numPr>
                          <w:ilvl w:val="0"/>
                          <w:numId w:val="6"/>
                        </w:numPr>
                        <w:rPr>
                          <w:lang w:val="es-419"/>
                        </w:rPr>
                      </w:pPr>
                      <w:r>
                        <w:rPr>
                          <w:lang w:val="es-419"/>
                        </w:rPr>
                        <w:t>FICR:</w:t>
                      </w:r>
                      <w:r w:rsidR="00EC70A9" w:rsidRPr="002C6F05">
                        <w:rPr>
                          <w:lang w:val="es-419"/>
                        </w:rPr>
                        <w:t xml:space="preserve"> </w:t>
                      </w:r>
                      <w:r w:rsidR="00612A03" w:rsidRPr="00612A03">
                        <w:rPr>
                          <w:lang w:val="es-419"/>
                        </w:rPr>
                        <w:t>Abordaje de las necesidades de manejo de la higiene menstrual (MHM). Guía y Herramientas para las Sociedades de la Cruz Roja y de la Media Luna Roja</w:t>
                      </w:r>
                      <w:r w:rsidR="00FD22C5" w:rsidRPr="002C6F05">
                        <w:rPr>
                          <w:lang w:val="es-419"/>
                        </w:rPr>
                        <w:t xml:space="preserve"> (</w:t>
                      </w:r>
                      <w:hyperlink r:id="rId16" w:history="1">
                        <w:r w:rsidR="00FD22C5" w:rsidRPr="002C6F05">
                          <w:rPr>
                            <w:rStyle w:val="Hyperlink"/>
                            <w:lang w:val="es-419"/>
                          </w:rPr>
                          <w:t>2019</w:t>
                        </w:r>
                      </w:hyperlink>
                      <w:r w:rsidR="00FD22C5" w:rsidRPr="002C6F05">
                        <w:rPr>
                          <w:lang w:val="es-419"/>
                        </w:rPr>
                        <w:t>)</w:t>
                      </w:r>
                    </w:p>
                    <w:p w14:paraId="7E09572F" w14:textId="4762A5AD" w:rsidR="00E568BE" w:rsidRPr="002C6F05" w:rsidRDefault="00E568BE">
                      <w:pPr>
                        <w:rPr>
                          <w:lang w:val="es-419"/>
                        </w:rPr>
                      </w:pPr>
                    </w:p>
                    <w:p w14:paraId="2E7AC493" w14:textId="7A6A15A7" w:rsidR="00E568BE" w:rsidRPr="002C6F05" w:rsidRDefault="001F5948" w:rsidP="00DC3682">
                      <w:pPr>
                        <w:pStyle w:val="ListParagraph"/>
                        <w:numPr>
                          <w:ilvl w:val="0"/>
                          <w:numId w:val="6"/>
                        </w:numPr>
                        <w:rPr>
                          <w:lang w:val="es-419"/>
                        </w:rPr>
                      </w:pPr>
                      <w:r>
                        <w:rPr>
                          <w:lang w:val="es-419"/>
                        </w:rPr>
                        <w:t>FICR:</w:t>
                      </w:r>
                      <w:r w:rsidR="00EC70A9" w:rsidRPr="002C6F05">
                        <w:rPr>
                          <w:lang w:val="es-419"/>
                        </w:rPr>
                        <w:t xml:space="preserve"> </w:t>
                      </w:r>
                      <w:r w:rsidR="00612A03" w:rsidRPr="00612A03">
                        <w:rPr>
                          <w:lang w:val="es-419"/>
                        </w:rPr>
                        <w:t>Materiales y herramientas de información y educación sobre MHM</w:t>
                      </w:r>
                      <w:r w:rsidR="005867E9" w:rsidRPr="002C6F05">
                        <w:rPr>
                          <w:lang w:val="es-419"/>
                        </w:rPr>
                        <w:t xml:space="preserve"> (</w:t>
                      </w:r>
                      <w:hyperlink r:id="rId17" w:history="1">
                        <w:r w:rsidR="005867E9" w:rsidRPr="002C6F05">
                          <w:rPr>
                            <w:rStyle w:val="Hyperlink"/>
                            <w:lang w:val="es-419"/>
                          </w:rPr>
                          <w:t>2019</w:t>
                        </w:r>
                      </w:hyperlink>
                      <w:r w:rsidR="005867E9" w:rsidRPr="002C6F05">
                        <w:rPr>
                          <w:lang w:val="es-419"/>
                        </w:rPr>
                        <w:t>)</w:t>
                      </w:r>
                    </w:p>
                    <w:p w14:paraId="01B36530" w14:textId="5A3D9038" w:rsidR="005E7D51" w:rsidRPr="00ED23BF" w:rsidRDefault="005E7D51">
                      <w:pPr>
                        <w:rPr>
                          <w:lang w:val="es-419"/>
                        </w:rPr>
                      </w:pPr>
                    </w:p>
                    <w:p w14:paraId="06D28D84" w14:textId="5E3DB444" w:rsidR="005E7D51" w:rsidRPr="00ED23BF" w:rsidRDefault="001F5948" w:rsidP="00DC3682">
                      <w:pPr>
                        <w:pStyle w:val="ListParagraph"/>
                        <w:numPr>
                          <w:ilvl w:val="0"/>
                          <w:numId w:val="6"/>
                        </w:numPr>
                        <w:rPr>
                          <w:lang w:val="es-419"/>
                        </w:rPr>
                      </w:pPr>
                      <w:r w:rsidRPr="00ED23BF">
                        <w:rPr>
                          <w:lang w:val="es-419"/>
                        </w:rPr>
                        <w:t>FICR:</w:t>
                      </w:r>
                      <w:r w:rsidR="00F13A88" w:rsidRPr="00ED23BF">
                        <w:rPr>
                          <w:lang w:val="es-419"/>
                        </w:rPr>
                        <w:t xml:space="preserve"> </w:t>
                      </w:r>
                      <w:r w:rsidR="00612A03" w:rsidRPr="00ED23BF">
                        <w:rPr>
                          <w:lang w:val="es-419"/>
                        </w:rPr>
                        <w:t>Kit de herramientas de manejo de la higiene menstrual (MHM) en emergencias</w:t>
                      </w:r>
                      <w:r w:rsidR="005E7D51" w:rsidRPr="00ED23BF">
                        <w:rPr>
                          <w:lang w:val="es-419"/>
                        </w:rPr>
                        <w:t xml:space="preserve"> (</w:t>
                      </w:r>
                      <w:hyperlink r:id="rId18" w:history="1">
                        <w:r w:rsidR="005E7D51" w:rsidRPr="00ED23BF">
                          <w:rPr>
                            <w:rStyle w:val="Hyperlink"/>
                            <w:lang w:val="es-419"/>
                          </w:rPr>
                          <w:t>2017</w:t>
                        </w:r>
                      </w:hyperlink>
                      <w:r w:rsidR="005E7D51" w:rsidRPr="00ED23BF">
                        <w:rPr>
                          <w:lang w:val="es-419"/>
                        </w:rPr>
                        <w:t>)</w:t>
                      </w:r>
                    </w:p>
                    <w:p w14:paraId="2403D8D2" w14:textId="77777777" w:rsidR="00E95790" w:rsidRPr="00ED23BF" w:rsidRDefault="00E95790" w:rsidP="00E95790">
                      <w:pPr>
                        <w:pStyle w:val="ListParagraph"/>
                        <w:rPr>
                          <w:lang w:val="es-419"/>
                        </w:rPr>
                      </w:pPr>
                    </w:p>
                    <w:p w14:paraId="3666E249" w14:textId="08CDCAAE" w:rsidR="00E95790" w:rsidRPr="00ED23BF" w:rsidRDefault="001F5948" w:rsidP="00DC3682">
                      <w:pPr>
                        <w:pStyle w:val="ListParagraph"/>
                        <w:numPr>
                          <w:ilvl w:val="0"/>
                          <w:numId w:val="6"/>
                        </w:numPr>
                        <w:rPr>
                          <w:lang w:val="es-419"/>
                        </w:rPr>
                      </w:pPr>
                      <w:r w:rsidRPr="00ED23BF">
                        <w:rPr>
                          <w:lang w:val="es-419"/>
                        </w:rPr>
                        <w:t>Cruz Roja Australiana: Hoja Informativa sobre</w:t>
                      </w:r>
                      <w:r w:rsidR="00E95790" w:rsidRPr="00ED23BF">
                        <w:rPr>
                          <w:lang w:val="es-419"/>
                        </w:rPr>
                        <w:t xml:space="preserve"> </w:t>
                      </w:r>
                      <w:r w:rsidR="005700B4" w:rsidRPr="00ED23BF">
                        <w:rPr>
                          <w:lang w:val="es-419"/>
                        </w:rPr>
                        <w:t>G</w:t>
                      </w:r>
                      <w:r w:rsidR="00612A03" w:rsidRPr="00ED23BF">
                        <w:rPr>
                          <w:lang w:val="es-419"/>
                        </w:rPr>
                        <w:t>énero y Agua y Saneamiento</w:t>
                      </w:r>
                      <w:r w:rsidR="005700B4" w:rsidRPr="00ED23BF">
                        <w:rPr>
                          <w:lang w:val="es-419"/>
                        </w:rPr>
                        <w:t xml:space="preserve"> (</w:t>
                      </w:r>
                      <w:hyperlink r:id="rId19" w:history="1">
                        <w:r w:rsidR="005700B4" w:rsidRPr="00ED23BF">
                          <w:rPr>
                            <w:rStyle w:val="Hyperlink"/>
                            <w:lang w:val="es-419"/>
                          </w:rPr>
                          <w:t>2011</w:t>
                        </w:r>
                      </w:hyperlink>
                      <w:r w:rsidR="005700B4" w:rsidRPr="00ED23BF">
                        <w:rPr>
                          <w:lang w:val="es-419"/>
                        </w:rPr>
                        <w:t>)</w:t>
                      </w:r>
                    </w:p>
                    <w:p w14:paraId="7744F996" w14:textId="2C27F17F" w:rsidR="00430F0E" w:rsidRPr="00ED23BF" w:rsidRDefault="00430F0E">
                      <w:pPr>
                        <w:rPr>
                          <w:lang w:val="es-419"/>
                        </w:rPr>
                      </w:pPr>
                    </w:p>
                    <w:p w14:paraId="13684E4F" w14:textId="2390F6E1" w:rsidR="00430F0E" w:rsidRPr="00ED23BF" w:rsidRDefault="00430F0E">
                      <w:pPr>
                        <w:rPr>
                          <w:lang w:val="es-419"/>
                        </w:rPr>
                      </w:pPr>
                    </w:p>
                    <w:p w14:paraId="0B5BE8D6" w14:textId="2EB99C1C" w:rsidR="00430F0E" w:rsidRPr="00ED23BF" w:rsidRDefault="002C6F05">
                      <w:pPr>
                        <w:rPr>
                          <w:b/>
                          <w:bCs/>
                          <w:lang w:val="es-419"/>
                        </w:rPr>
                      </w:pPr>
                      <w:r w:rsidRPr="00ED23BF">
                        <w:rPr>
                          <w:b/>
                          <w:bCs/>
                          <w:lang w:val="es-419"/>
                        </w:rPr>
                        <w:t>Alojamiento</w:t>
                      </w:r>
                    </w:p>
                    <w:p w14:paraId="79475E9D" w14:textId="61A76BF7" w:rsidR="00425103" w:rsidRPr="00ED23BF" w:rsidRDefault="001F5948" w:rsidP="00545D85">
                      <w:pPr>
                        <w:pStyle w:val="ListParagraph"/>
                        <w:numPr>
                          <w:ilvl w:val="0"/>
                          <w:numId w:val="8"/>
                        </w:numPr>
                        <w:rPr>
                          <w:lang w:val="es-419"/>
                        </w:rPr>
                      </w:pPr>
                      <w:r w:rsidRPr="00ED23BF">
                        <w:rPr>
                          <w:lang w:val="es-419"/>
                        </w:rPr>
                        <w:t>FICR:</w:t>
                      </w:r>
                      <w:r w:rsidR="00C72C10" w:rsidRPr="00ED23BF">
                        <w:rPr>
                          <w:lang w:val="es-419"/>
                        </w:rPr>
                        <w:t xml:space="preserve"> </w:t>
                      </w:r>
                      <w:r w:rsidR="00612A03" w:rsidRPr="00ED23BF">
                        <w:rPr>
                          <w:lang w:val="es-419"/>
                        </w:rPr>
                        <w:t>Todas las personas</w:t>
                      </w:r>
                      <w:r w:rsidR="00ED23BF">
                        <w:rPr>
                          <w:lang w:val="es-419"/>
                        </w:rPr>
                        <w:t xml:space="preserve"> </w:t>
                      </w:r>
                      <w:r w:rsidR="00612A03" w:rsidRPr="00ED23BF">
                        <w:rPr>
                          <w:lang w:val="es-419"/>
                        </w:rPr>
                        <w:t>bajo un mismo techo</w:t>
                      </w:r>
                      <w:r w:rsidR="00C72C10" w:rsidRPr="00ED23BF">
                        <w:rPr>
                          <w:lang w:val="es-419"/>
                        </w:rPr>
                        <w:t xml:space="preserve">. </w:t>
                      </w:r>
                      <w:r w:rsidR="00612A03" w:rsidRPr="00ED23BF">
                        <w:rPr>
                          <w:lang w:val="es-419"/>
                        </w:rPr>
                        <w:t>Alojamientos y asentamientos de</w:t>
                      </w:r>
                      <w:r w:rsidR="00ED23BF" w:rsidRPr="00ED23BF">
                        <w:rPr>
                          <w:lang w:val="es-419"/>
                        </w:rPr>
                        <w:t xml:space="preserve"> </w:t>
                      </w:r>
                      <w:r w:rsidR="00612A03" w:rsidRPr="00ED23BF">
                        <w:rPr>
                          <w:lang w:val="es-419"/>
                        </w:rPr>
                        <w:t>emergencia inclusivos</w:t>
                      </w:r>
                      <w:r w:rsidR="00ED23BF" w:rsidRPr="00ED23BF">
                        <w:rPr>
                          <w:lang w:val="es-419"/>
                        </w:rPr>
                        <w:t xml:space="preserve"> </w:t>
                      </w:r>
                      <w:r w:rsidR="00612A03" w:rsidRPr="00ED23BF">
                        <w:rPr>
                          <w:lang w:val="es-419"/>
                        </w:rPr>
                        <w:t>con respecto a la discapacidad</w:t>
                      </w:r>
                      <w:r w:rsidR="002009A0" w:rsidRPr="00ED23BF">
                        <w:rPr>
                          <w:lang w:val="es-419"/>
                        </w:rPr>
                        <w:t xml:space="preserve"> (</w:t>
                      </w:r>
                      <w:hyperlink r:id="rId20" w:history="1">
                        <w:r w:rsidR="002009A0" w:rsidRPr="00ED23BF">
                          <w:rPr>
                            <w:rStyle w:val="Hyperlink"/>
                            <w:lang w:val="es-419"/>
                          </w:rPr>
                          <w:t>201</w:t>
                        </w:r>
                        <w:r w:rsidR="000611E8" w:rsidRPr="00ED23BF">
                          <w:rPr>
                            <w:rStyle w:val="Hyperlink"/>
                            <w:lang w:val="es-419"/>
                          </w:rPr>
                          <w:t>5</w:t>
                        </w:r>
                      </w:hyperlink>
                      <w:r w:rsidR="002009A0" w:rsidRPr="00ED23BF">
                        <w:rPr>
                          <w:lang w:val="es-419"/>
                        </w:rPr>
                        <w:t>)</w:t>
                      </w:r>
                    </w:p>
                    <w:p w14:paraId="3424D2F8" w14:textId="22DCC2BA" w:rsidR="00430F0E" w:rsidRPr="00ED23BF" w:rsidRDefault="001F5948" w:rsidP="00545D85">
                      <w:pPr>
                        <w:pStyle w:val="ListParagraph"/>
                        <w:numPr>
                          <w:ilvl w:val="0"/>
                          <w:numId w:val="8"/>
                        </w:numPr>
                        <w:rPr>
                          <w:lang w:val="es-419"/>
                        </w:rPr>
                      </w:pPr>
                      <w:r w:rsidRPr="00ED23BF">
                        <w:rPr>
                          <w:lang w:val="es-419"/>
                        </w:rPr>
                        <w:t>Cruz Roja Australiana:</w:t>
                      </w:r>
                      <w:r w:rsidR="00545D85" w:rsidRPr="00ED23BF">
                        <w:rPr>
                          <w:lang w:val="es-419"/>
                        </w:rPr>
                        <w:t xml:space="preserve"> </w:t>
                      </w:r>
                      <w:r w:rsidR="00ED23BF" w:rsidRPr="00ED23BF">
                        <w:rPr>
                          <w:lang w:val="es-419"/>
                        </w:rPr>
                        <w:t>Nota de Orientación sobre Género y Alojamiento</w:t>
                      </w:r>
                      <w:r w:rsidR="00545D85" w:rsidRPr="00ED23BF">
                        <w:rPr>
                          <w:lang w:val="es-419"/>
                        </w:rPr>
                        <w:t xml:space="preserve"> (</w:t>
                      </w:r>
                      <w:hyperlink r:id="rId21" w:history="1">
                        <w:r w:rsidR="00545D85" w:rsidRPr="00ED23BF">
                          <w:rPr>
                            <w:rStyle w:val="Hyperlink"/>
                            <w:lang w:val="es-419"/>
                          </w:rPr>
                          <w:t>2011</w:t>
                        </w:r>
                      </w:hyperlink>
                      <w:r w:rsidR="00545D85" w:rsidRPr="00ED23BF">
                        <w:rPr>
                          <w:lang w:val="es-419"/>
                        </w:rPr>
                        <w:t>)</w:t>
                      </w:r>
                    </w:p>
                    <w:p w14:paraId="34B57309" w14:textId="6D16F54C" w:rsidR="00430F0E" w:rsidRPr="00ED23BF" w:rsidRDefault="00430F0E">
                      <w:pPr>
                        <w:rPr>
                          <w:lang w:val="es-419"/>
                        </w:rPr>
                      </w:pPr>
                    </w:p>
                    <w:p w14:paraId="24CD4651" w14:textId="77777777" w:rsidR="00BA3344" w:rsidRPr="00ED23BF" w:rsidRDefault="00BA3344">
                      <w:pPr>
                        <w:rPr>
                          <w:lang w:val="es-419"/>
                        </w:rPr>
                      </w:pPr>
                    </w:p>
                    <w:p w14:paraId="2D83745E" w14:textId="1708D5D4" w:rsidR="00430F0E" w:rsidRPr="00ED23BF" w:rsidRDefault="002C6F05">
                      <w:pPr>
                        <w:rPr>
                          <w:b/>
                          <w:bCs/>
                          <w:lang w:val="es-419"/>
                        </w:rPr>
                      </w:pPr>
                      <w:r w:rsidRPr="00ED23BF">
                        <w:rPr>
                          <w:b/>
                          <w:bCs/>
                          <w:lang w:val="es-419"/>
                        </w:rPr>
                        <w:t>Medios de Vida</w:t>
                      </w:r>
                    </w:p>
                    <w:p w14:paraId="659F2D1C" w14:textId="416A0795" w:rsidR="00E64D01" w:rsidRPr="00ED23BF" w:rsidRDefault="001F5948" w:rsidP="00E64D01">
                      <w:pPr>
                        <w:pStyle w:val="ListParagraph"/>
                        <w:numPr>
                          <w:ilvl w:val="0"/>
                          <w:numId w:val="9"/>
                        </w:numPr>
                        <w:rPr>
                          <w:lang w:val="es-419"/>
                        </w:rPr>
                      </w:pPr>
                      <w:r w:rsidRPr="00ED23BF">
                        <w:rPr>
                          <w:lang w:val="es-419"/>
                        </w:rPr>
                        <w:t>FICR:</w:t>
                      </w:r>
                      <w:r w:rsidR="00E64D01" w:rsidRPr="00ED23BF">
                        <w:rPr>
                          <w:lang w:val="es-419"/>
                        </w:rPr>
                        <w:t xml:space="preserve"> </w:t>
                      </w:r>
                      <w:r w:rsidR="00ED23BF" w:rsidRPr="00ED23BF">
                        <w:rPr>
                          <w:lang w:val="es-419"/>
                        </w:rPr>
                        <w:t xml:space="preserve">Nota de orientación sobre género y diversidad en la seguridad alimentaria y en la programación de medios de vida </w:t>
                      </w:r>
                      <w:r w:rsidR="00E64D01" w:rsidRPr="00ED23BF">
                        <w:rPr>
                          <w:lang w:val="es-419"/>
                        </w:rPr>
                        <w:t>(</w:t>
                      </w:r>
                      <w:hyperlink r:id="rId22" w:history="1">
                        <w:r w:rsidR="00C222E2" w:rsidRPr="00ED23BF">
                          <w:rPr>
                            <w:rStyle w:val="Hyperlink"/>
                            <w:lang w:val="es-419"/>
                          </w:rPr>
                          <w:t>2014</w:t>
                        </w:r>
                      </w:hyperlink>
                      <w:r w:rsidR="00C222E2" w:rsidRPr="00ED23BF">
                        <w:rPr>
                          <w:lang w:val="es-419"/>
                        </w:rPr>
                        <w:t>)</w:t>
                      </w:r>
                    </w:p>
                  </w:txbxContent>
                </v:textbox>
              </v:shape>
            </w:pict>
          </mc:Fallback>
        </mc:AlternateContent>
      </w:r>
    </w:p>
    <w:sectPr w:rsidR="00DF2CFF" w:rsidRPr="00D55627" w:rsidSect="00CF50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3162B"/>
    <w:multiLevelType w:val="hybridMultilevel"/>
    <w:tmpl w:val="5A56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242C3"/>
    <w:multiLevelType w:val="hybridMultilevel"/>
    <w:tmpl w:val="FF50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E2B2F"/>
    <w:multiLevelType w:val="hybridMultilevel"/>
    <w:tmpl w:val="E4FEA838"/>
    <w:lvl w:ilvl="0" w:tplc="F7B225E4">
      <w:start w:val="1"/>
      <w:numFmt w:val="bullet"/>
      <w:lvlText w:val="•"/>
      <w:lvlJc w:val="left"/>
      <w:pPr>
        <w:tabs>
          <w:tab w:val="num" w:pos="720"/>
        </w:tabs>
        <w:ind w:left="720" w:hanging="360"/>
      </w:pPr>
      <w:rPr>
        <w:rFonts w:ascii="Arial" w:hAnsi="Arial" w:hint="default"/>
      </w:rPr>
    </w:lvl>
    <w:lvl w:ilvl="1" w:tplc="E45093B2" w:tentative="1">
      <w:start w:val="1"/>
      <w:numFmt w:val="bullet"/>
      <w:lvlText w:val="•"/>
      <w:lvlJc w:val="left"/>
      <w:pPr>
        <w:tabs>
          <w:tab w:val="num" w:pos="1440"/>
        </w:tabs>
        <w:ind w:left="1440" w:hanging="360"/>
      </w:pPr>
      <w:rPr>
        <w:rFonts w:ascii="Arial" w:hAnsi="Arial" w:hint="default"/>
      </w:rPr>
    </w:lvl>
    <w:lvl w:ilvl="2" w:tplc="7E46E15A" w:tentative="1">
      <w:start w:val="1"/>
      <w:numFmt w:val="bullet"/>
      <w:lvlText w:val="•"/>
      <w:lvlJc w:val="left"/>
      <w:pPr>
        <w:tabs>
          <w:tab w:val="num" w:pos="2160"/>
        </w:tabs>
        <w:ind w:left="2160" w:hanging="360"/>
      </w:pPr>
      <w:rPr>
        <w:rFonts w:ascii="Arial" w:hAnsi="Arial" w:hint="default"/>
      </w:rPr>
    </w:lvl>
    <w:lvl w:ilvl="3" w:tplc="FEB28A4E" w:tentative="1">
      <w:start w:val="1"/>
      <w:numFmt w:val="bullet"/>
      <w:lvlText w:val="•"/>
      <w:lvlJc w:val="left"/>
      <w:pPr>
        <w:tabs>
          <w:tab w:val="num" w:pos="2880"/>
        </w:tabs>
        <w:ind w:left="2880" w:hanging="360"/>
      </w:pPr>
      <w:rPr>
        <w:rFonts w:ascii="Arial" w:hAnsi="Arial" w:hint="default"/>
      </w:rPr>
    </w:lvl>
    <w:lvl w:ilvl="4" w:tplc="54468C58" w:tentative="1">
      <w:start w:val="1"/>
      <w:numFmt w:val="bullet"/>
      <w:lvlText w:val="•"/>
      <w:lvlJc w:val="left"/>
      <w:pPr>
        <w:tabs>
          <w:tab w:val="num" w:pos="3600"/>
        </w:tabs>
        <w:ind w:left="3600" w:hanging="360"/>
      </w:pPr>
      <w:rPr>
        <w:rFonts w:ascii="Arial" w:hAnsi="Arial" w:hint="default"/>
      </w:rPr>
    </w:lvl>
    <w:lvl w:ilvl="5" w:tplc="9F88CC0E" w:tentative="1">
      <w:start w:val="1"/>
      <w:numFmt w:val="bullet"/>
      <w:lvlText w:val="•"/>
      <w:lvlJc w:val="left"/>
      <w:pPr>
        <w:tabs>
          <w:tab w:val="num" w:pos="4320"/>
        </w:tabs>
        <w:ind w:left="4320" w:hanging="360"/>
      </w:pPr>
      <w:rPr>
        <w:rFonts w:ascii="Arial" w:hAnsi="Arial" w:hint="default"/>
      </w:rPr>
    </w:lvl>
    <w:lvl w:ilvl="6" w:tplc="DC74FCFA" w:tentative="1">
      <w:start w:val="1"/>
      <w:numFmt w:val="bullet"/>
      <w:lvlText w:val="•"/>
      <w:lvlJc w:val="left"/>
      <w:pPr>
        <w:tabs>
          <w:tab w:val="num" w:pos="5040"/>
        </w:tabs>
        <w:ind w:left="5040" w:hanging="360"/>
      </w:pPr>
      <w:rPr>
        <w:rFonts w:ascii="Arial" w:hAnsi="Arial" w:hint="default"/>
      </w:rPr>
    </w:lvl>
    <w:lvl w:ilvl="7" w:tplc="B8C8599A" w:tentative="1">
      <w:start w:val="1"/>
      <w:numFmt w:val="bullet"/>
      <w:lvlText w:val="•"/>
      <w:lvlJc w:val="left"/>
      <w:pPr>
        <w:tabs>
          <w:tab w:val="num" w:pos="5760"/>
        </w:tabs>
        <w:ind w:left="5760" w:hanging="360"/>
      </w:pPr>
      <w:rPr>
        <w:rFonts w:ascii="Arial" w:hAnsi="Arial" w:hint="default"/>
      </w:rPr>
    </w:lvl>
    <w:lvl w:ilvl="8" w:tplc="F4342A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925D13"/>
    <w:multiLevelType w:val="hybridMultilevel"/>
    <w:tmpl w:val="BFD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E7751"/>
    <w:multiLevelType w:val="hybridMultilevel"/>
    <w:tmpl w:val="40E03FE0"/>
    <w:lvl w:ilvl="0" w:tplc="16BA28A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B7767"/>
    <w:multiLevelType w:val="hybridMultilevel"/>
    <w:tmpl w:val="336C4046"/>
    <w:lvl w:ilvl="0" w:tplc="06C2B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B0892"/>
    <w:multiLevelType w:val="hybridMultilevel"/>
    <w:tmpl w:val="C30C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B2530D"/>
    <w:multiLevelType w:val="hybridMultilevel"/>
    <w:tmpl w:val="AF3E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267CB"/>
    <w:multiLevelType w:val="hybridMultilevel"/>
    <w:tmpl w:val="3646A362"/>
    <w:lvl w:ilvl="0" w:tplc="16BA28A6">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6"/>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CC"/>
    <w:rsid w:val="0001696A"/>
    <w:rsid w:val="000611E8"/>
    <w:rsid w:val="000819CC"/>
    <w:rsid w:val="000B77DB"/>
    <w:rsid w:val="000C5542"/>
    <w:rsid w:val="000C6868"/>
    <w:rsid w:val="00153600"/>
    <w:rsid w:val="0016007D"/>
    <w:rsid w:val="001A4C78"/>
    <w:rsid w:val="001F3D34"/>
    <w:rsid w:val="001F5948"/>
    <w:rsid w:val="002009A0"/>
    <w:rsid w:val="002B5A5A"/>
    <w:rsid w:val="002C6F05"/>
    <w:rsid w:val="0031140F"/>
    <w:rsid w:val="00361C4F"/>
    <w:rsid w:val="00396448"/>
    <w:rsid w:val="003C36BC"/>
    <w:rsid w:val="00401C99"/>
    <w:rsid w:val="00425103"/>
    <w:rsid w:val="00430F0E"/>
    <w:rsid w:val="0049146C"/>
    <w:rsid w:val="00527D5F"/>
    <w:rsid w:val="00545D85"/>
    <w:rsid w:val="005700B4"/>
    <w:rsid w:val="005766D8"/>
    <w:rsid w:val="005867E9"/>
    <w:rsid w:val="00590D0A"/>
    <w:rsid w:val="005E7D51"/>
    <w:rsid w:val="00612A03"/>
    <w:rsid w:val="006B7D89"/>
    <w:rsid w:val="00774AEE"/>
    <w:rsid w:val="007C3231"/>
    <w:rsid w:val="007F7C1B"/>
    <w:rsid w:val="00841BA4"/>
    <w:rsid w:val="008815F6"/>
    <w:rsid w:val="008953ED"/>
    <w:rsid w:val="00934959"/>
    <w:rsid w:val="009C27CB"/>
    <w:rsid w:val="00B36FB2"/>
    <w:rsid w:val="00B60618"/>
    <w:rsid w:val="00BA3344"/>
    <w:rsid w:val="00BD30C6"/>
    <w:rsid w:val="00BF0A60"/>
    <w:rsid w:val="00BF300A"/>
    <w:rsid w:val="00C023C1"/>
    <w:rsid w:val="00C1160A"/>
    <w:rsid w:val="00C222E2"/>
    <w:rsid w:val="00C300EC"/>
    <w:rsid w:val="00C65083"/>
    <w:rsid w:val="00C72C10"/>
    <w:rsid w:val="00C86028"/>
    <w:rsid w:val="00CF5080"/>
    <w:rsid w:val="00D55627"/>
    <w:rsid w:val="00D85629"/>
    <w:rsid w:val="00DC3682"/>
    <w:rsid w:val="00DF2CFF"/>
    <w:rsid w:val="00E04EB1"/>
    <w:rsid w:val="00E10CDB"/>
    <w:rsid w:val="00E25CE2"/>
    <w:rsid w:val="00E27374"/>
    <w:rsid w:val="00E333C6"/>
    <w:rsid w:val="00E568BE"/>
    <w:rsid w:val="00E64D01"/>
    <w:rsid w:val="00E75452"/>
    <w:rsid w:val="00E93FBA"/>
    <w:rsid w:val="00E95790"/>
    <w:rsid w:val="00EC70A9"/>
    <w:rsid w:val="00ED23BF"/>
    <w:rsid w:val="00F13A88"/>
    <w:rsid w:val="00F21DDE"/>
    <w:rsid w:val="00F4217D"/>
    <w:rsid w:val="00F56548"/>
    <w:rsid w:val="00FB54AD"/>
    <w:rsid w:val="00FD2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DFCB"/>
  <w14:defaultImageDpi w14:val="32767"/>
  <w15:chartTrackingRefBased/>
  <w15:docId w15:val="{F20E9036-17D9-4E41-A9C0-0FE1BD0C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AE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AEE"/>
    <w:pPr>
      <w:ind w:left="720"/>
      <w:contextualSpacing/>
    </w:pPr>
    <w:rPr>
      <w:rFonts w:eastAsiaTheme="minorEastAsia"/>
      <w:lang w:val="en-AU"/>
    </w:rPr>
  </w:style>
  <w:style w:type="character" w:styleId="Hyperlink">
    <w:name w:val="Hyperlink"/>
    <w:basedOn w:val="DefaultParagraphFont"/>
    <w:uiPriority w:val="99"/>
    <w:unhideWhenUsed/>
    <w:rsid w:val="0016007D"/>
    <w:rPr>
      <w:color w:val="0000FF"/>
      <w:u w:val="single"/>
    </w:rPr>
  </w:style>
  <w:style w:type="character" w:styleId="UnresolvedMention">
    <w:name w:val="Unresolved Mention"/>
    <w:basedOn w:val="DefaultParagraphFont"/>
    <w:uiPriority w:val="99"/>
    <w:rsid w:val="005E7D51"/>
    <w:rPr>
      <w:color w:val="605E5C"/>
      <w:shd w:val="clear" w:color="auto" w:fill="E1DFDD"/>
    </w:rPr>
  </w:style>
  <w:style w:type="paragraph" w:styleId="BalloonText">
    <w:name w:val="Balloon Text"/>
    <w:basedOn w:val="Normal"/>
    <w:link w:val="BalloonTextChar"/>
    <w:uiPriority w:val="99"/>
    <w:semiHidden/>
    <w:unhideWhenUsed/>
    <w:rsid w:val="00016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71471">
      <w:bodyDiv w:val="1"/>
      <w:marLeft w:val="0"/>
      <w:marRight w:val="0"/>
      <w:marTop w:val="0"/>
      <w:marBottom w:val="0"/>
      <w:divBdr>
        <w:top w:val="none" w:sz="0" w:space="0" w:color="auto"/>
        <w:left w:val="none" w:sz="0" w:space="0" w:color="auto"/>
        <w:bottom w:val="none" w:sz="0" w:space="0" w:color="auto"/>
        <w:right w:val="none" w:sz="0" w:space="0" w:color="auto"/>
      </w:divBdr>
      <w:divsChild>
        <w:div w:id="1890871792">
          <w:marLeft w:val="331"/>
          <w:marRight w:val="0"/>
          <w:marTop w:val="0"/>
          <w:marBottom w:val="0"/>
          <w:divBdr>
            <w:top w:val="none" w:sz="0" w:space="0" w:color="auto"/>
            <w:left w:val="none" w:sz="0" w:space="0" w:color="auto"/>
            <w:bottom w:val="none" w:sz="0" w:space="0" w:color="auto"/>
            <w:right w:val="none" w:sz="0" w:space="0" w:color="auto"/>
          </w:divBdr>
        </w:div>
        <w:div w:id="1533762393">
          <w:marLeft w:val="331"/>
          <w:marRight w:val="0"/>
          <w:marTop w:val="0"/>
          <w:marBottom w:val="0"/>
          <w:divBdr>
            <w:top w:val="none" w:sz="0" w:space="0" w:color="auto"/>
            <w:left w:val="none" w:sz="0" w:space="0" w:color="auto"/>
            <w:bottom w:val="none" w:sz="0" w:space="0" w:color="auto"/>
            <w:right w:val="none" w:sz="0" w:space="0" w:color="auto"/>
          </w:divBdr>
        </w:div>
        <w:div w:id="604070822">
          <w:marLeft w:val="331"/>
          <w:marRight w:val="0"/>
          <w:marTop w:val="0"/>
          <w:marBottom w:val="0"/>
          <w:divBdr>
            <w:top w:val="none" w:sz="0" w:space="0" w:color="auto"/>
            <w:left w:val="none" w:sz="0" w:space="0" w:color="auto"/>
            <w:bottom w:val="none" w:sz="0" w:space="0" w:color="auto"/>
            <w:right w:val="none" w:sz="0" w:space="0" w:color="auto"/>
          </w:divBdr>
        </w:div>
      </w:divsChild>
    </w:div>
    <w:div w:id="823282537">
      <w:bodyDiv w:val="1"/>
      <w:marLeft w:val="0"/>
      <w:marRight w:val="0"/>
      <w:marTop w:val="0"/>
      <w:marBottom w:val="0"/>
      <w:divBdr>
        <w:top w:val="none" w:sz="0" w:space="0" w:color="auto"/>
        <w:left w:val="none" w:sz="0" w:space="0" w:color="auto"/>
        <w:bottom w:val="none" w:sz="0" w:space="0" w:color="auto"/>
        <w:right w:val="none" w:sz="0" w:space="0" w:color="auto"/>
      </w:divBdr>
    </w:div>
    <w:div w:id="1063912909">
      <w:bodyDiv w:val="1"/>
      <w:marLeft w:val="0"/>
      <w:marRight w:val="0"/>
      <w:marTop w:val="0"/>
      <w:marBottom w:val="0"/>
      <w:divBdr>
        <w:top w:val="none" w:sz="0" w:space="0" w:color="auto"/>
        <w:left w:val="none" w:sz="0" w:space="0" w:color="auto"/>
        <w:bottom w:val="none" w:sz="0" w:space="0" w:color="auto"/>
        <w:right w:val="none" w:sz="0" w:space="0" w:color="auto"/>
      </w:divBdr>
    </w:div>
    <w:div w:id="1695421825">
      <w:bodyDiv w:val="1"/>
      <w:marLeft w:val="0"/>
      <w:marRight w:val="0"/>
      <w:marTop w:val="0"/>
      <w:marBottom w:val="0"/>
      <w:divBdr>
        <w:top w:val="none" w:sz="0" w:space="0" w:color="auto"/>
        <w:left w:val="none" w:sz="0" w:space="0" w:color="auto"/>
        <w:bottom w:val="none" w:sz="0" w:space="0" w:color="auto"/>
        <w:right w:val="none" w:sz="0" w:space="0" w:color="auto"/>
      </w:divBdr>
    </w:div>
    <w:div w:id="1968661633">
      <w:bodyDiv w:val="1"/>
      <w:marLeft w:val="0"/>
      <w:marRight w:val="0"/>
      <w:marTop w:val="0"/>
      <w:marBottom w:val="0"/>
      <w:divBdr>
        <w:top w:val="none" w:sz="0" w:space="0" w:color="auto"/>
        <w:left w:val="none" w:sz="0" w:space="0" w:color="auto"/>
        <w:bottom w:val="none" w:sz="0" w:space="0" w:color="auto"/>
        <w:right w:val="none" w:sz="0" w:space="0" w:color="auto"/>
      </w:divBdr>
    </w:div>
    <w:div w:id="2094819244">
      <w:bodyDiv w:val="1"/>
      <w:marLeft w:val="0"/>
      <w:marRight w:val="0"/>
      <w:marTop w:val="0"/>
      <w:marBottom w:val="0"/>
      <w:divBdr>
        <w:top w:val="none" w:sz="0" w:space="0" w:color="auto"/>
        <w:left w:val="none" w:sz="0" w:space="0" w:color="auto"/>
        <w:bottom w:val="none" w:sz="0" w:space="0" w:color="auto"/>
        <w:right w:val="none" w:sz="0" w:space="0" w:color="auto"/>
      </w:divBdr>
    </w:div>
    <w:div w:id="213119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rcwatsanmissionassistant.wordpress.com/menstrual-hygiene-management/" TargetMode="External"/><Relationship Id="rId13" Type="http://schemas.openxmlformats.org/officeDocument/2006/relationships/hyperlink" Target="http://www.livelihoodscentre.org/-/gender-and-diversity-in-food-security-and-livelihoods-programming-guidance-note" TargetMode="External"/><Relationship Id="rId18" Type="http://schemas.openxmlformats.org/officeDocument/2006/relationships/hyperlink" Target="https://www.rescue.org/sites/default/files/document/2113/themhminemergenciestoolkitfullguide.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redcross.org.au/getmedia/dd010ed4-f8a7-4bd9-b55a-30c08c481f17/2011Gender-and-Shelter.pdf.aspx" TargetMode="External"/><Relationship Id="rId7" Type="http://schemas.openxmlformats.org/officeDocument/2006/relationships/hyperlink" Target="https://ifrcwatsanmissionassistant.files.wordpress.com/2019/08/mhm-guidelines-v7.pdf" TargetMode="External"/><Relationship Id="rId12" Type="http://schemas.openxmlformats.org/officeDocument/2006/relationships/hyperlink" Target="https://www.redcross.org.au/getmedia/dd010ed4-f8a7-4bd9-b55a-30c08c481f17/2011Gender-and-Shelter.pdf.aspx" TargetMode="External"/><Relationship Id="rId17" Type="http://schemas.openxmlformats.org/officeDocument/2006/relationships/hyperlink" Target="https://ifrcwatsanmissionassistant.wordpress.com/menstrual-hygiene-management/"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ifrcwatsanmissionassistant.files.wordpress.com/2019/08/mhm-guidelines-v7.pdf" TargetMode="External"/><Relationship Id="rId20" Type="http://schemas.openxmlformats.org/officeDocument/2006/relationships/hyperlink" Target="https://www.ifrc.org/Global/Documents/Secretariat/Shelter/All-under-one-roof_EN.pdf" TargetMode="External"/><Relationship Id="rId1" Type="http://schemas.openxmlformats.org/officeDocument/2006/relationships/numbering" Target="numbering.xml"/><Relationship Id="rId6" Type="http://schemas.openxmlformats.org/officeDocument/2006/relationships/hyperlink" Target="https://www.redcross.org.au/getmedia/6170dfea-0387-460e-a382-579df0ee73d6/2011-Gender-and-disaster-management-fact-sheet.pdf.aspx" TargetMode="External"/><Relationship Id="rId11" Type="http://schemas.openxmlformats.org/officeDocument/2006/relationships/hyperlink" Target="https://www.ifrc.org/Global/Documents/Secretariat/Shelter/All-under-one-roof_EN.pdf" TargetMode="External"/><Relationship Id="rId24" Type="http://schemas.openxmlformats.org/officeDocument/2006/relationships/theme" Target="theme/theme1.xml"/><Relationship Id="rId5" Type="http://schemas.openxmlformats.org/officeDocument/2006/relationships/hyperlink" Target="https://www.redcross.org.au/getmedia/1283d6b8-c755-4455-82b5-a81afd8a29ee/Disability-Inclusion-Report-LR.pdf.aspx" TargetMode="External"/><Relationship Id="rId15" Type="http://schemas.openxmlformats.org/officeDocument/2006/relationships/hyperlink" Target="https://www.redcross.org.au/getmedia/6170dfea-0387-460e-a382-579df0ee73d6/2011-Gender-and-disaster-management-fact-sheet.pdf.aspx" TargetMode="External"/><Relationship Id="rId23" Type="http://schemas.openxmlformats.org/officeDocument/2006/relationships/fontTable" Target="fontTable.xml"/><Relationship Id="rId10" Type="http://schemas.openxmlformats.org/officeDocument/2006/relationships/hyperlink" Target="https://www.redcross.org.au/getmedia/75a1a851-2efd-4c24-a948-b17fcb81fcda/2011-Gender-and-water-and-sanitation-fact-sheet.pdf.aspx" TargetMode="External"/><Relationship Id="rId19" Type="http://schemas.openxmlformats.org/officeDocument/2006/relationships/hyperlink" Target="https://www.redcross.org.au/getmedia/75a1a851-2efd-4c24-a948-b17fcb81fcda/2011-Gender-and-water-and-sanitation-fact-sheet.pdf.aspx" TargetMode="External"/><Relationship Id="rId4" Type="http://schemas.openxmlformats.org/officeDocument/2006/relationships/webSettings" Target="webSettings.xml"/><Relationship Id="rId9" Type="http://schemas.openxmlformats.org/officeDocument/2006/relationships/hyperlink" Target="https://www.rescue.org/sites/default/files/document/2113/themhminemergenciestoolkitfullguide.pdf" TargetMode="External"/><Relationship Id="rId14" Type="http://schemas.openxmlformats.org/officeDocument/2006/relationships/hyperlink" Target="https://www.redcross.org.au/getmedia/1283d6b8-c755-4455-82b5-a81afd8a29ee/Disability-Inclusion-Report-LR.pdf.aspx" TargetMode="External"/><Relationship Id="rId22" Type="http://schemas.openxmlformats.org/officeDocument/2006/relationships/hyperlink" Target="http://www.livelihoodscentre.org/-/gender-and-diversity-in-food-security-and-livelihoods-programming-guidance-n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6D971-4F51-4023-972E-1B02C19281DE}"/>
</file>

<file path=customXml/itemProps2.xml><?xml version="1.0" encoding="utf-8"?>
<ds:datastoreItem xmlns:ds="http://schemas.openxmlformats.org/officeDocument/2006/customXml" ds:itemID="{BC0A2C52-7919-45F0-AA4D-892084E868C1}"/>
</file>

<file path=docProps/app.xml><?xml version="1.0" encoding="utf-8"?>
<Properties xmlns="http://schemas.openxmlformats.org/officeDocument/2006/extended-properties" xmlns:vt="http://schemas.openxmlformats.org/officeDocument/2006/docPropsVTypes">
  <Template>Normal</Template>
  <TotalTime>615</TotalTime>
  <Pages>1</Pages>
  <Words>614</Words>
  <Characters>3382</Characters>
  <Application>Microsoft Office Word</Application>
  <DocSecurity>0</DocSecurity>
  <PresentationFormat/>
  <Lines>28</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LAITILA</dc:creator>
  <cp:keywords/>
  <dc:description/>
  <cp:lastModifiedBy>Evelyn VALLEJO</cp:lastModifiedBy>
  <cp:revision>53</cp:revision>
  <cp:lastPrinted>1900-01-01T06:00:00Z</cp:lastPrinted>
  <dcterms:created xsi:type="dcterms:W3CDTF">2019-11-12T20:28:00Z</dcterms:created>
  <dcterms:modified xsi:type="dcterms:W3CDTF">2020-06-09T20:43:00Z</dcterms:modified>
  <cp:category/>
  <cp:contentStatus/>
  <dc:language/>
  <cp:version/>
</cp:coreProperties>
</file>